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C-2063/2018 vom 21. August 2018</w:t>
      </w:r>
    </w:p>
    <w:p>
      <w:r>
        <w:t>Bundesverwaltungsgericht, 2018-08-21, DE</w:t>
      </w:r>
    </w:p>
    <w:p>
      <w:r>
        <w:rPr>
          <w:b/>
        </w:rPr>
        <w:t xml:space="preserve">Quelle: </w:t>
      </w:r>
      <w:r>
        <w:t>https://mcp.opencaselaw.ch/entscheid/bvger_C-2063_2018</w:t>
      </w:r>
    </w:p>
    <w:p>
      <w:r>
        <w:t>FR: TAF C-2063/2018 du 21 août 2018</w:t>
      </w:r>
    </w:p>
    <w:p>
      <w:r>
        <w:t>IT: TAF C-2063/2018 del 21 agosto 2018</w:t>
      </w:r>
    </w:p>
    <w:p>
      <w:pPr>
        <w:pStyle w:val="Heading2"/>
      </w:pPr>
      <w:r>
        <w:t>Regeste</w:t>
      </w:r>
    </w:p>
    <w:p>
      <w:r>
        <w:t>Invalidenversicherung (Übriges)</w:t>
      </w:r>
    </w:p>
    <w:p>
      <w:pPr>
        <w:pStyle w:val="Heading2"/>
      </w:pPr>
      <w:r>
        <w:t>Erwägungen</w:t>
      </w:r>
    </w:p>
    <w:p>
      <w:r>
        <w:rPr>
          <w:b/>
        </w:rPr>
        <w:t>E. 1</w:t>
      </w:r>
    </w:p>
    <w:p>
      <w:r>
        <w:t>Die Beschwerde wird insoweit gutgeheissen, dass die angefochtene Verfügung vom 9. März 2018 aufgehoben und die Sache an die Vorinstanz bzw. die neu zuständige kantonale IV-Stelle zurückgewiesen wird, damit diese die bisher gewährte Rente weiterhin auszahle und nach erfolgter Abklärungen im Sinne der Erwägungen neu verfüge.</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Beilage: Doppel der Vernehmlassung der Vorinstanz vom 29.6.2018) - die Vorinstanz (Ref-Nr. [...]; Einschreiben) - das Bundesamt für Sozialversicherungen (Einschreiben) Für die Rechtsmittelbelehrung wird auf die nächste Seite verwiesen. Der vorsitzende Richter: Die Gerichtsschreiberin: Beat Weber Tatjana Bont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