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C-2049/2009 vom 4. Februar 2011</w:t>
      </w:r>
    </w:p>
    <w:p>
      <w:r>
        <w:t>Bundesverwaltungsgericht, 2011-02-04, DE</w:t>
      </w:r>
    </w:p>
    <w:p>
      <w:r>
        <w:rPr>
          <w:b/>
        </w:rPr>
        <w:t xml:space="preserve">Quelle: </w:t>
      </w:r>
      <w:r>
        <w:t>https://mcp.opencaselaw.ch/entscheid/bvger_C-2049_2009</w:t>
      </w:r>
    </w:p>
    <w:p>
      <w:r>
        <w:t>FR: TAF C-2049/2009 du 4 février 2011</w:t>
      </w:r>
    </w:p>
    <w:p>
      <w:r>
        <w:t>IT: TAF C-2049/2009 del 4 febbraio 2011</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 dass er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Nach der Rechtsprechung stellt das Sozialversicherungsgericht bei der Beurteilung einer Streitsache in der Regel auf den bis zum Zeit­punkt des Erlasses der streitigen Verwaltungsverfügung (hier: 23. Feb­ruar 2009) eingetretenen Sachverhalt ab (BGE 129 V 1 E. 1.2 mit Hin­weis). Tatsachen, die jenen Sachverhalt seither verändert ha­ben, sollen im Normalfall Gegenstand einer neuen Verwaltungs­ver­fügung sein (BGE 121 V 362 E. 1b).</w:t>
      </w:r>
    </w:p>
    <w:p>
      <w:r>
        <w:rPr>
          <w:b/>
        </w:rPr>
        <w:t>E. 2.2</w:t>
      </w:r>
    </w:p>
    <w:p>
      <w:r>
        <w:t>In materiellrechtlicher Hinsicht sind grundsätzlich diejenigen Rechts­sätze massgebend, dei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Für die Beurteilung des Leistungsanspruchs sind bis zum 31. Dezem­ber 2007 das IVG und das ATSG in der Fassung vom 21. März 2003 und die IVV in der Fassung vom 21. Mai 2003 (4. IV Revision, AS 2003 3837 be­ziehungsweise AS 2003 3859, in Kraft vom 1. Januar 2004 bis 31. De­zember 2007) anwendbar. Am 1. Ja­nuar 2008 sind die Ände­rungen des IVG und des ATSG vom 6. Oktober 2006 sowie der IVV vom 28. Sep­tember 2007 (5. IV Re­vi­sion, AS 2007 5129 be­zie­hungs­weise AS 2007 5155) in Kraft getreten. Soweit sich der Renten­an­spruch auf die Zeit nach dem 1. Januar 2008 bezieht, sind die Be­stim­mungen der er­wähnten Erlasse in der seit die­sem Datum gel­ten­den Fassung an­wendbar. Sofern sich die einschlägigen Bestimmungen materiell nicht verändert haben, werden im Folgenden - falls nichts Gegenteiliges vermerkt - die Be­stimmungen lediglich in der ab 1. Januar 2008 gültig gewesenen Fassung zitiert.</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Gemäss Art. 17 Abs. 1 ATSG wird eine Rente von Amtes wegen oder auf Gesuch hin für die Zukunft entsprechend erhöht, herab­ge­setzt oder aufgehoben, wenn sich der Invaliditätsgrad des Renten­be­zügers erheblich verändert hat.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Ob eine solche rentenrelevante Änderung eingetreten ist, beurteilt sich (unter Vorbehalt früher durchgeführter Revisionen) durch Vergleich des Sachverhaltes, wie er im Zeitpunkt der ursprünglichen Rentenver­fü­gung bestanden hat, mit demjenigen zur Zeit der streitigen Re­vi­sions­verfügung (BGE 125 V 369 E. 2, 113 V 275 E. 1a). Eine in der Zwi­schen­zeit ergangene Revisionsverfügung gilt dann als Vergleichs­basis, wenn sie die ur­sprüngliche Rentenverfü­gung nicht bestätigt, sondern die laufende Rente aufgrund eines neu festgesetzten IV-Gra­des ge­ändert hat (BGE 109 V 262 E. 4a mit Hinweisen; ZAK 1987 S. 37 E. 1a). Der Revisions­verfügung kommt im Weiteren - auch wenn der bisherige IV-Grad be­stätigt wird und die Höhe der Rente unverän­dert bleibt - dann als Ver­gleichsbasis Bedeutung zu, wenn sie in Form einer in Rechtskraft ge­tretenen Verfügung ergangen ist und eine mate­rielle Überprüfung des Leistungsanspruches tatsächlich stattgefunden hat. Diese im Bereich der Neuanmeldung geänderte Praxis des Bun­desgerichts gilt neu auch im Bereich von Rentenrevisionen (vgl. BGE 133 V 108 E. 5.4).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Vorliegend ist somit der Sachverhalt im Zeitpunkt der Rentenverfügung vom 29. März 2004 mit dem Sachverhalt im Zeitpunkt der Revisions­ver­fügung vom 23. Februar 2009 zu vergleichen.</w:t>
      </w:r>
    </w:p>
    <w:p>
      <w:r>
        <w:rPr>
          <w:b/>
        </w:rPr>
        <w:t>E. 3.2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Ist - wie hier - kein tatsächlich erzieltes Er­werbseinkommen nach Eintritt der Invalidität mehr gegeben, nament­lich weil die versicherte Person nach Ein­tritt des Gesundheitsschadens keine oder zumindest keine zumutbare Erwerbstätigkeit aufgenommen hat, so sind nach der Rechtsprechung die gesamtschweizerischen Tabellenlöhne gemäss den vom BFS periodisch heraus­ge­gebenen Lohn­strukturerhebungen (LSE) heranzuziehen (vgl. BGE 129 V 472 E. 4.2.1). Massgebend sind dabei die monatlichen Bruttolöhne (Zent­ralwerte) im jeweiligen Wirtschaftssektor.</w:t>
      </w:r>
    </w:p>
    <w:p>
      <w:r>
        <w:rPr>
          <w:b/>
        </w:rPr>
        <w:t>E. 3.6</w:t>
      </w:r>
    </w:p>
    <w:p>
      <w:r>
        <w:t>Gemäss Art. 28 Abs. 2 IVG besteht bei einem Invaliditätsgrad von mindestens 70% ein Anspruch auf eine ganze Rente, auf eine Dreiviertelsrente bei einem Grad der Invalidität von mindestens 60%, auf eine halbe Rente bei einem solchen von mindestens 50% und auf eine Viertelsrente bei einem Invaliditätsgrad von mindestens 40%. Gemäss Art. 29 Abs. 4 IVG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Staaten der EU der Fall ist.</w:t>
      </w:r>
    </w:p>
    <w:p>
      <w:r>
        <w:rPr>
          <w:b/>
        </w:rPr>
        <w:t>E. 4</w:t>
      </w:r>
    </w:p>
    <w:p>
      <w:r>
        <w:t>Nachfolgend ist zu prüfen, ob die IVSTA zu Recht das Vorliegen eines Revisionsgrundes beim Beschwerdeführer bejaht und gestützt darauf seine Rente aufgehoben hat.</w:t>
      </w:r>
    </w:p>
    <w:p>
      <w:r>
        <w:rPr>
          <w:b/>
        </w:rPr>
        <w:t>E. 4.1</w:t>
      </w:r>
    </w:p>
    <w:p>
      <w:r>
        <w:t>Im Rahmen der ursprünglichen Rentenverfügung vom 29. März 2004 lag der IVSTA der Bericht von Dr. med. A._______, Spezial­arzt für Psychiatrie und Psychotherapie, vom 11. September 2003 (act. 109) vor. Dieser hat in seinem Bericht als Diagnosen mit Ein­fluss auf die Arbeitsfähigkeit eine Polytoxikomanie (inklusive Opiate), gegenwärtig abstinent ICD-10 F19.20, eine narzisstische Per­sönlichkeitsstörung ICD-10 F60.8 und eine Dysthymie (neurotische De­pression) ICD-10 F34.1 genannt. Zudem hat der Arzt leichte, belas­tungsabhängige Lumbalgien festgestellt, welche jedoch als ohne Ein­fluss auf die Arbeitsfähigkeit eingestuft wurden. Insgesamt erachtete der beurteilende Arzt den Gesundheitszustand des Beschwerde­führers als stationär und schätzte dessen Leistungsfähigkeit auf 70% Leistung bei einem Pensum von 70% der üblichen Arbeitszeit. Dies ent­spreche somit einer Arbeitsunfähigkeit von 50% (70% von 70%) in irgendeiner Tätigkeit.</w:t>
      </w:r>
    </w:p>
    <w:p>
      <w:r>
        <w:rPr>
          <w:b/>
        </w:rPr>
        <w:t>E. 4.2</w:t>
      </w:r>
    </w:p>
    <w:p>
      <w:r>
        <w:t>Anlässlich des Rentenrevisionsverfahrens holte die IVSTA einen Be­richt bei Dr. med. C._______, Nervenarzt und Sozialmedi­ziner, ein. Dieser diagnostizierte beim Beschwerdeführer in seinem Be­richt vom 12. September 2008 (act. 132. f.) eine narzisstische Per­sön­lich­keits­störung und einen Zustand nach Polytoxikomanie. Ferner stellte er fest, dass sich die Besserung, welche auch Dr. med. A._______ im Jahr 2003 bereits erwähnte, weiter fortgesetzt habe. Der Zustand habe sich stabilisiert, da namentlich kein Rückfall in die Suchterkrankung stattgefunden habe. Im Vergleich zur Untersuchung durch Dr. med. A._______ am 14. Juli 2003 habe sich die ge­sundheitliche Situation des Beschwerdeführers verbessert. Dr. med. D._______, Ärztin für Innere Medizin, hielt in ihrer me­dizinischen Stellungnahme gestützt auf den neu eingeholten Bericht von Dr. med. C._______ fest, es lägen keine Anzeichen mehr für eine Depression vor. Der Gesundheitszustand habe sich im Ver­gleich zum Zeitpunkt der Rentenzusprache verbessert. In der bisheri­gen Tätigkeit liege keine wesentliche Arbeitsunfähigkeit mehr vor.</w:t>
      </w:r>
    </w:p>
    <w:p>
      <w:r>
        <w:rPr>
          <w:b/>
        </w:rPr>
        <w:t>E. 4.3</w:t>
      </w:r>
    </w:p>
    <w:p>
      <w:r>
        <w:t>Vergleicht man die gesundheitliche Situation des Beschwerde­füh­rers anlässlich der Rentenzusprechung mit der Situation im Revisions­zeitpunkt, so ist festzuhalten, dass die narzisstische Persönlichkeits­störung sowie der Zustand nach Polytoxikomanie sowohl im Zeitpunkt der ersten Rentenverfügung bestanden haben als auch im Revisions­zeitpunkt vorlagen. Dr. med. C._______ hielt fest, die Stimmungslage scheine der­zeit nicht beeinträchtigt und es bestehe kein Hinweis auf das Vorliegen einer depressiven Störung. Allerdings attestierte er dem Beschwerde­führer ein "von der Persönlichkeit geprägtes Zustandsbild", welches zwar Krankheitswert habe, aber "im Sinne der Alltagsanpassung nicht wesentlich negativ beeinflussend" sei und es dem Beschwerdeführer erlaube, aktiv zu werden und durchzuhalten. Wegen der eingetretenen Stabilisierung sei jedoch nach deutschem Recht im allgemeinen Ar­beits­markt heute nicht mehr von einer Leistungsminderung auszu­gehen. Der beurteilende Arzt hat somit zwar noch gewisse psychische Einschränkungen festgestellt, wenn er von einem Zustandsbild spricht, welches Krankheitswert habe, aber es bleibt unklar, ob und inwiefern dies eine Änderung zur früheren Situation darstellt, zumal die nar­zisstische Persönlichkeitsstörung immer noch besteht und nur die Dia­gnose Dysthymie weggefallen ist. Alleine aufgrund des Wegfalls einer Diagnose kann ohnehin nicht systematisch auf den Eintritt einer Ver­besserung geschlossen werden, genauso wenig wie eine Diagnose allein eine Aussagekraft für die daraus folgende Einschränkung der Ar­beitsfähigkeit hat. Ferner ist es widersprüchlich, wenn Dr. med. C._______ lediglich mangels Vorliegens eines Rückfalls in die frühere Suchterkrankung von einer Stabilisierung des Zustandes spricht und da­raus schliesst, der Zustand habe sich verbessert. Es ist zwar nach­vollziehbar, dass der Zustand als stabil(er) bezeichnet wird, da die Ab­stinenz von den Drogen bereits seit einigen Jahren - und nicht erst seit wenigen Monaten - andauert, dennoch ist es nicht plausibel, dies mit einer Verbesserung des Gesundheits­zustandes gleichzusetzen. Schliesslich ist darauf hinzuweisen, dass sich in Bezug auf die mit Be­richt vom 11. September 2003 fest­gestellten leichten, belastungsab­hängi­gen Lumbalgien keine neue Be­urteilung in den Akten befindet und daher unklar bleibt, ob sich der Gesundheitszustand diesbezüglich verändert hat. Es ist somit festzuhalten, dass die von Dr. med. C._______ und Dr. med. D._______ festgestellte Verbesserung des psy­chi­schen Gesundheitszustandes nicht nachvollziehbar ist und zudem auch nicht begründet wird. Insbesondere in Bezug auf die von Dr. med. C._______ thematisierte "Überwindbarkeit" fehlt eine Begrün­dung und Auseinandersetzung mit den früheren medi­zi­nischen Unter­lagen. Diese bräuchte es aber vorliegend, um abgrenzen zu können, ob sich die bisherige, teilweise Arbeitsfähigkeit verändert hat. Daher kann auch die von Dr. med. C._______ erwähnte Sta­bilisierung nicht als Verbesserung angesehen werden. Ferner ist darauf hinzu­weisen, dass - entgegen den Ausführungen von Dr. med. C._______ - vorliegend der Gesundheitszustand am 29. März 2004 mit dem Gesundheitszustand im Zeitpunkt der Revisionsver­fügung vom 23. Fe­bruar 2009 in medizinischer Hinsicht zu vergleichen ist und nicht über eine Leistungsminderung nach deutschem Recht zu befinden ist. Insgesamt ist daher festzuhalten, dass der eingeholte Be­richt E 213 und die gestützt darauf ergangene Stellungnahme des me­dizinischen Dienstes in psychiatrischer Hinsicht nicht nachvollziehbar sind und nicht darauf abzustellen ist. Bereits deshalb ist der ange­foch­tene Entscheid aufzuheben. Ferner ist die Beurteilung des Gesund­heits­zustandes insofern unvollständig, als in den neuen Berichten und Stellungnahmen keine Äusserungen zu den im Jahr 2003 festgestell­ten Lumbalgien zu finden sind und somit aus orthopädischer Sicht nicht beurteilt werden kann, ob eine Veränderung des Gesundheitszu­standes vorliegt. Zusammenfassend ist festzuhalten, dass gestützt auf die vorliegenden Akten die gesundheitliche Situation und deren Einfluss auf die Arbeits­fähigkeit des Beschwerdeführers nicht beurteilt werden kann und somit eine weitere, umfassende Beurteilung in psychiatrischer und in ortho­pädischer Hinsicht vorzunehmen ist. Die Beschwerde ist somit teil­weise gutzuheissen, die angefochtene Verfügung vom 23. Februar 2009 aufzuheben und die Sache ist zur ergänzenden Abklärung des me­dizinischen Sachverhalts an die IVSTA zurückzuweisen.</w:t>
      </w:r>
    </w:p>
    <w:p>
      <w:r>
        <w:rPr>
          <w:b/>
        </w:rPr>
        <w:t>E. 5</w:t>
      </w:r>
    </w:p>
    <w:p>
      <w:r>
        <w:t>Zufolge dieses Verfahrensausgangs ist auf die Rüge des Beschwerde­führers betreffend Fehlen eines Einkommensvergleichs vorliegend nicht einzugehen.</w:t>
      </w:r>
    </w:p>
    <w:p>
      <w:r>
        <w:rPr>
          <w:b/>
        </w:rPr>
        <w:t>E. 6.1</w:t>
      </w:r>
    </w:p>
    <w:p>
      <w:r>
        <w:t>Die Verfahrenskosten werden in der Regel der unterliegenden Par­tei auferlegt (Art. 63 Abs. 1 VwVG). Eine Rückweisung gilt praxisge­mäss als Obsiegen der Beschwerde führenden Partei (BGE 132 V 215 E. 6). Einer unterliegenden Vorinstanz sind allerdings gemäss Art. 63 Abs. 2 VwVG keine Verfahrenskosten aufzuerlegen. Der vom Beschwerdeführer geleistete Kostenvorschuss in der Höhe von Fr. 400.-- ist ihm nach Eintritt der Rechtskraft des vorliegenden Entscheids auf ein von ihm bekannt zu gebendes Konto zurück­zu­er­statten.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ist vorliegend anwaltlich vertreten. Ihm ist daher eine Partei­entschädi­gung für die ihm entstande­nen not­wendigen Kosten zuzu­sprechen. Da keine Kostennote einge­reicht wurde, ist die Parteient­schädigung auf­grund der Akten festzu­setzen (Art. 14 Abs. 2 VGKE). Eine Parteient­schädigung in der Höhe von Fr. 1'500.-- erscheint unter Berücksichtigung des aktenkundigen und gebotenen Auf­wandes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