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C-2034/2024 vom 23. Januar 2025</w:t>
      </w:r>
    </w:p>
    <w:p>
      <w:r>
        <w:t>Bundesverwaltungsgericht, 2025-01-23, IT</w:t>
      </w:r>
    </w:p>
    <w:p>
      <w:r>
        <w:rPr>
          <w:b/>
        </w:rPr>
        <w:t xml:space="preserve">Quelle: </w:t>
      </w:r>
      <w:r>
        <w:t>https://mcp.opencaselaw.ch/entscheid/bvger_C-2034_2024</w:t>
      </w:r>
    </w:p>
    <w:p>
      <w:r>
        <w:t>FR: TAF C-2034/2024 du 23 janvier 2025</w:t>
      </w:r>
    </w:p>
    <w:p>
      <w:r>
        <w:t>IT: TAF C-2034/2024 del 23 gennaio 2025</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w:t>
      </w:r>
    </w:p>
    <w:p>
      <w:r>
        <w:t>C-2034/2024 Pagina 5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3</w:t>
      </w:r>
    </w:p>
    <w:p>
      <w:r>
        <w:t>del Regolamento n. 883/2004 in relazione con l’Allegato II del regola- mento medesimo; DTF 130 V 253 consid. 2.4).</w:t>
      </w:r>
    </w:p>
    <w:p>
      <w:r>
        <w:rPr>
          <w:b/>
        </w:rPr>
        <w:t>E. 3.1</w:t>
      </w:r>
    </w:p>
    <w:p>
      <w:r>
        <w:t>Dal profilo temporale, con riserva di disposizioni di diritto transitorio, sono applicabili le disposizioni in vigore al momento della realizzazione dello stato di fatto che deve essere valutato giuridicamente o che produce</w:t>
      </w:r>
    </w:p>
    <w:p>
      <w:r>
        <w:t>C-2034/2024 Pagina 6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[Circ DT US AI; valida dal 1° gennaio 2022, stato al 1° gennaio 2022] cifre marginali 1007 a 1010; si confronti sentenza del TF 8C_247/2024 del 12 dicembre 2024 consid. 2.1).</w:t>
      </w:r>
    </w:p>
    <w:p>
      <w:r>
        <w:rPr>
          <w:b/>
        </w:rPr>
        <w:t>E. 3.3</w:t>
      </w:r>
    </w:p>
    <w:p>
      <w:r>
        <w:t>Nel caso in esame, essendo la nuova domanda di rendita stata presen- tata il 16 febbraio 2023, il diritto alla rendita nasce al più presto il 1° agosto 2023 (cfr. art. 29 LAI). Pertanto si applicano di principio le disposizioni legali in vigore dal 1° gennaio 2022.</w:t>
      </w:r>
    </w:p>
    <w:p>
      <w:r>
        <w:rPr>
          <w:b/>
        </w:rPr>
        <w:t>E. 3.4.1</w:t>
      </w:r>
    </w:p>
    <w:p>
      <w:r>
        <w:t>Ogni richiedente, per avere diritto ad una rendita dell'assicurazione invalidità svizzera, deve adempiere cumulativamente le seguenti condi- zioni: essere invalido ai sensi della LPGA e della LAI (art. 8 LPGA nonché art. 4, 28 cpv. 1 e 29 cpv. 1 LAI) ed aver pagato i contributi all'AVS/AI sviz- zera o ad un'assicurazione sociale assimilata (art. 6 e 45 del regolamento [CE] n. 883/2004) di uno Stato membro dell'Unione europea (UE) o dell'As- sociazione europea di libero scambio (AELS), durante tre anni (art. 36 cpv. 1 LAI), fermo restando la necessità di un periodo contributivo minimo in Svizzera di un anno (art. 36 cpv. 2 LAI in combinazione con l'art. 29 cpv. 1 LAVS; DTF 131 V 390; 130 V 335 consid. 3 e 4).</w:t>
      </w:r>
    </w:p>
    <w:p>
      <w:r>
        <w:rPr>
          <w:b/>
        </w:rPr>
        <w:t>E. 3.4.2</w:t>
      </w:r>
    </w:p>
    <w:p>
      <w:r>
        <w:t>Il ricorrente, oltre ad aver versato i contributi in Italia per svariati anni (doc. UAIE 345) ha versato contributi all'AVS/AI svizzera per più di 3 anni (doc. UAIE 354, si confronti anche art. 6 cpv. 2 lett. b OAVS) e, pertanto, adempie la condizione della durata minima di contribuzione.</w:t>
      </w:r>
    </w:p>
    <w:p>
      <w:r>
        <w:t>C-2034/2024 Pagina 7</w:t>
      </w:r>
    </w:p>
    <w:p>
      <w:r>
        <w:rPr>
          <w:b/>
        </w:rPr>
        <w:t>E. 4.1</w:t>
      </w:r>
    </w:p>
    <w:p>
      <w:r>
        <w:t>Secondo l’art. 43 LPGA e l’art. 69 OAI, l’UAIE esamina le domande concernenti le prestazioni d’invalidità, intraprende d’ufficio i necessari ac- certamenti e raccoglie le informazioni di cui ha bisogno,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In seguito alla proposta dell’UAIE formulata con la duplica, tendente al rinvio della causa all’amministrazione per ulteriori approfondimenti, in par- ticolare in medicina interna, psichiatria e psicoterapia, reumatologia, neu- rologia e neuropsicologia come proposto dal Servizio medico in data 27 agosto 2024 (doc. TAF e allegati), occorre esaminare se prima della pro- nuncia della decisione impugnata l’UAIE avrebbe dovuto procedere ad ul- teriori misure istruttorie, per potersi determinare con cognizione di causa ed il necessario grado della verosimiglianza preponderante sull’evoluzione dello stato di salute e della capacità lavorativa dell’insorgente. Il ricorrente chiede infatti una rivalutazione del suo caso alla luce dei referti medici tra- smessi, avvalendosi in sostanza di un insufficiente accertamento dei fatti dal profilo sanitario.</w:t>
      </w:r>
    </w:p>
    <w:p>
      <w:r>
        <w:rPr>
          <w:b/>
        </w:rPr>
        <w:t>E. 5.2</w:t>
      </w:r>
    </w:p>
    <w:p>
      <w:r>
        <w:t>In concreto va pertanto analizzato se la proposta dell’UAIE d’ammis- sione del ricorso con annullamento della decisione impugnata e rinvio della causa all’amministrazione affinché proceda ad ulteriori approfondimenti medici, sia condivisibile e vada accolta (si confronti la duplica del 10 set- tembre 2024 [doc. TAF 11]).</w:t>
      </w:r>
    </w:p>
    <w:p>
      <w:r>
        <w:rPr>
          <w:b/>
        </w:rPr>
        <w:t>E. 6.1</w:t>
      </w:r>
    </w:p>
    <w:p>
      <w:r>
        <w:t>Per i motivi che verranno esposti di seguito questo Tribunale concorda con la proposta dell’UAIE, che corrisponde peraltro alle conclusioni ricor- suali, d’annullamento della decisione impugnata con rinvio degli atti di causa all’amministrazione affinché completi l’istruttoria con i menzionati ul- teriori accertamenti medici. L’autorità inferiore non ha infatti tenuto conto di una possibile evoluzione sfavorevole dello stato di salute dell’interessato, possibilmente intervenuta già prima dell’emanazione della decisione impu- gnata.</w:t>
      </w:r>
    </w:p>
    <w:p>
      <w:r>
        <w:t>C-2034/2024 Pagina 8</w:t>
      </w:r>
    </w:p>
    <w:p>
      <w:r>
        <w:rPr>
          <w:b/>
        </w:rPr>
        <w:t>E. 6.1.1</w:t>
      </w:r>
    </w:p>
    <w:p>
      <w:r>
        <w:t>Alla replica del 9 luglio 2024 (doc. TAF 9) il ricorrente ha in particolare allegato: - la relazione psichiatrica del 2 luglio 2024 con cui il dott. G.________, direttore del Centro di salute mentale H._______ (IT), ha posto la dia- gnosi principale di depressione maggiore ricorrente di grado medio- grave e precisato che il paziente accusa un quadro neuropsicologico caratterizzato da umore depresso alternato da episodi disforici, astenia, periodi di apatia, ansia libera, aumento della tensione interna, disturbi dell’attenzione e della concentrazione, dispercezioni visive con episodi confusionali, cefalea subcontinua con crisi di emicrania con aura. Lo specialista ha infine indicato che tale stato neuropsicologico incide sulla capacità lavorativa in misura superiore ai due terzi (allegato a doc. TAF 9). - Il referto del dott. I._______ dell’Istituto di neurofisiopatologia dell’Ospedale J._______ del 3 luglio 2024, con cui lo specialista ha ri- levato che l’indagine miografica è compatibile con segni di denerva- zione parziale del muscolo Gastrocnemio mediale di destra (quadro peggiorato rispetto al precedente controllo del 30 agosto 2023) e con segni di sofferenza neurogena cronica in entrambi i muscoli tibiali an- teriori e del muscolo Gastrocnemio mediale di sinistra per gli arti infe- riori, nonché un quadro di modesta sofferenza neurogena cronica sui muscoli degli arti superiori (allegato a doc. TAF 9). - Il referto di visita specialistica in neurologia del 3 luglio 2024, con cui la dott.ssa K._______, specialista in neurologia, ha constatato un peggio- ramento del quadro depressivo nonostante l’assunzione di antidepres- sivi e analgesici ed ha posto le diagnosi di sindrome ansioso-depres- siva reattiva in soggetto con somatizzazioni, alterazioni del ritmo sonno-veglia e poliatrosi diffusa (allegato a doc. TAF 9). - Il rapporto del dott. L._______ del 5 luglio 2024, in cui lo specialista in ortopedia e traumatologia ha posto le diagnosi di protrusioni discali in C4-C5, C5-C6 e C6-C7 con compressione sul sacco durale, protru- sione discale in D6-D7, protrusione discale in L3-L4, L4-L5 ed L5-S1 con ernia del disco paramediana foraminale destra, tendinosi della cuf- fia spalla bilaterale, condropatia femoro-rotulea e femoro tibiale interna II ginocchio bilaterale. Ha inoltre confermato i divieti di carico di lavoro sul rachide in toto, nonché di posture fisse protratte nel tempo, com- prese le stazioni erette e le deambulazioni. Ha consigliato il prosegui- mento di trattamenti posturali costanti nel tempo. Infine, ha rilevato che</w:t>
      </w:r>
    </w:p>
    <w:p>
      <w:r>
        <w:t>C-2034/2024 Pagina 9 le patologie descritte sono involutive nel tempo e che – in caso di peg- gioramento della sintomatologia e dell’obiettività – non poteva essere esclusa la necessità di trattamenti chirurgici di discectomia o artrosco- pia di spalle e ginocchia (allegato a doc. TAF 9).</w:t>
      </w:r>
    </w:p>
    <w:p>
      <w:r>
        <w:rPr>
          <w:b/>
        </w:rPr>
        <w:t>E. 6.1.2</w:t>
      </w:r>
    </w:p>
    <w:p>
      <w:r>
        <w:t>Tali documenti sono stati sottoposti dall’UAIE al dott. F.________, il quale, dopo aver elencato nel proprio referto particolareggiato le diagnosi con e senza influsso sulla capacità lavorativa (allegato al doc. TAF 11 pag. 3 e 4) ha rilevato che i documenti medici in questione rendono plausibile un aggravamento dello stato di salute rispetto alla perizia pluridisciplinare eseguita presso il M._______ il 4 settembre 2019 nell’ambito della prece- dente procedura AI, soprattutto in ambito neurologico e ortopedico, ma al contempo non permettono di determinare con precisione l’entità di tale peggioramento, rispettivamente le sue conseguenze sulla capacità lavora- tiva. A livello ortopedico egli ha evidenziato come le nuove affezioni con- statate dal dott. I._______ (tendinosi della cuffia spalla bilaterale, condro- patia femoro-rotulea e femoro tibiale interna II ginocchio bilaterale) cau- sano delle ulteriori limitazioni funzionali, non essendo in particolare più esi- gibili i lavori al di sopra del livello delle spalle, i lavori in posizione accovac- ciata ed in ginocchio. A livello neurologico ha invece rilevato un peggiora- mento rispetto all’esame del 30 agosto 2023 dato che l’indagine miografica ha mostrato segni di denervazione parziale del muscolo gastrocnemio e segni di sofferenza neurogena cronica di entrambi i muscoli tibiali anteriori ma che nel rapporto in questione non sono state precisate le conseguenze sulla capacità lavorativa di tali affezioni. Ha infine rilevato che anche dal profilo psichiatrico, alla luce dei più recenti referti del dott. G._______, non può essere escluso un peggioramento della situazione valetudinaria (cfr. doc. TAF 11). L’autorità inferiore ha dunque ritenuto opportuno procedere con i menzio- nati complementi istruttori, per poi rivalutare il caso sulla base delle relative risultanze.</w:t>
      </w:r>
    </w:p>
    <w:p>
      <w:r>
        <w:rPr>
          <w:b/>
        </w:rPr>
        <w:t>E. 6.2</w:t>
      </w:r>
    </w:p>
    <w:p>
      <w:r>
        <w:t>Alla luce di quanto precede, e considerato che i referti dei dott. I._______, L._______, K._______ e G._______ sono immediatamente po- steriori alla data della decisione impugnata, non può in particolare essere escluso che sia intervenuto un peggioramento dello stato di salute dell’as- sicurato con ripercussioni sulla sua capacità lavorativa, e quindi sul grado di invalidità, già prima dell’emissione della decisione impugnata del 12 marzo 2024. Per questo motivo va accolta la proposta di annullamento della decisione impugnata e di rinvio degli atti formulata dall’autorità infe- riore alfine di una più approfondita, aggiornata e precisa verifica dello stato</w:t>
      </w:r>
    </w:p>
    <w:p>
      <w:r>
        <w:t>C-2034/2024 Pagina 10 di salute del ricorrente, non essendo in particolare possibile statuire in me- rito alla nuova richiesta di prestazioni del ricorrente senza prima procedere alla menzionata istruttoria complementare, essendo gli atti incompleti. Sotto questo profilo il completamento dell’istruttoria implica segnatamente l’aggiornamento dell’incarto con le menzionate valutazioni specialistiche perlomeno in ambito di medicina interna generale, psichiatria e psicotera- pia, reumatologia, neurologia e neuropsicologia, con verifica dell’incidenza delle diverse patologie, ed in particolare del loro effetto congiunto, sulla capacità lavorativa residua del ricorrente e sulla sua evoluzione nel tempo.</w:t>
      </w:r>
    </w:p>
    <w:p>
      <w:r>
        <w:rPr>
          <w:b/>
        </w:rPr>
        <w:t>E. 7.1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 (consid. 6).</w:t>
      </w:r>
    </w:p>
    <w:p>
      <w:r>
        <w:rPr>
          <w:b/>
        </w:rPr>
        <w:t>E. 7.2</w:t>
      </w:r>
    </w:p>
    <w:p>
      <w:r>
        <w:t>L’incarto va pertanto trasmesso all’autorità inferiore affinché completi l’accertamento dei fatti giuridicamente rilevanti. Il ricorrente verrà sottopo- sto ad una valutazione pluridisciplinare in medicina interna generale, psi- chiatrica, reumatologia, neurologia e neuropsicologia, riservato ogni ulte- riore esame che l’evoluzione nel tempo dello stato di salute dell’insorgente dovesse ancora rendere necessario. L’approfondimento peritale dovrà es- sere effettuato in Svizzera (sentenza del TAF C-4041/2021 del 2 marzo 2023 consid. 14.1 con rinvii). Sulla base degli accertamenti già agli atti e quelli ancora da esperire, l’amministrazione dovrà determinarsi sullo stato di salute del ricorrente nel periodo rilevante e fino alla data della nuova decisione nonché sulla sua incidenza sulla residua capacità lavorativa, fermo restando la necessità che i tutti i periti si esprimano congiuntamente al riguardo. Incomberà peraltro all’UAIE chinarsi nuovamente sul raffronto dei redditi e di emettere una nuova decisione sull’eventuale diritto alla ren- dita del ricorrente in tempi ragionevoli.</w:t>
      </w:r>
    </w:p>
    <w:p>
      <w:r>
        <w:rPr>
          <w:b/>
        </w:rPr>
        <w:t>E. 7.3</w:t>
      </w:r>
    </w:p>
    <w:p>
      <w:r>
        <w:t>Peraltro, stante le premesse, nulla – neppure la giurisprudenza del Tri- 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w:t>
      </w:r>
    </w:p>
    <w:p>
      <w:r>
        <w:t>C-2034/2024 Pagina 11 il necessario grado della verosimiglianza preponderante, sullo stato di sa- 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 chiesto un ulteriore accertamento specialistico in ambiti che non sono stati sufficientemente chiariti nella procedura di prima istanza, ma che lo avreb- bero dovuto essere prima dell’emanazione della decisione litigiosa (DTF 137 V 210 consid. 4.4.1.4 [cfr., in particolare, il consid. 6 del presente giu- dizio]). Peraltro, il Tribunale federale ha già avuto modo pure di precisare che in virtù dell’art. 43 LPGA nonché degli art. 12 e 13 PA e dell'art. 19 PA in relazione con l'art. 40 PCF (RS 273), il Tribunale accerta, con la collabo- razione delle parti, i fatti determinanti per la soluzione della controversia, assume le prove necessarie e le valuta liberamente. Secondo giurispru- denza, se il giudice ritiene che i fatti non sono sufficientemente delucidati, può, peraltro non senza qualche limitazione (DTF 137 V 210 consid. 4.4.1.4, secondo cui un rinvio resta possibile laddove si impongono accer- tamenti medici in merito ad una questione che non è ancora stata oggetto di alcun approfondimento, rispettivamente laddove è necessario un sem- plice chiarimento o completamento di una perizia), sia rinviare la causa all'amministrazione per completamento dell'istruzione sia procedere lui medesimo a tale istruzione complementare. Un rinvio all'amministrazione che ha per scopo di completare l'accertamento dei fatti non viola né i prin- cipi della semplicità e della celerità né il principio inquisitorio. In particolare, un siffatto rinvio appare in generale siccome giustificato se l'amministra- zione ha proceduto ad una constatazione dei fatti sommaria nella speranza che in caso di ricorso sarebbe poi stato il Tribunale ad effettuare i necessari accertamenti fattuali (sentenza del TF 9C_162/2007 del 3 aprile 2008 con- sid. 2.3 con rinvii; cfr. pure sentenza del TAF C- 1621/2020 consid. 9.3).</w:t>
      </w:r>
    </w:p>
    <w:p>
      <w:r>
        <w:rPr>
          <w:b/>
        </w:rPr>
        <w:t>E. 8.1</w:t>
      </w:r>
    </w:p>
    <w:p>
      <w:r>
        <w:t>Visto l'esito del ricorso, non sono prelevate spese processuali (art. 63 PA). Ne consegue che la domanda di assistenza giudiziaria, nel senso della dispensa dalle spese processuali, è divenuta priva di oggetto (cfr. sulla questione, fra le tante, la sentenza del TAF C-3748/2015 dell’11 feb- braio 2019 consid. 14.3 con rinvio).</w:t>
      </w:r>
    </w:p>
    <w:p>
      <w:r>
        <w:rPr>
          <w:b/>
        </w:rPr>
        <w:t>E. 8.2</w:t>
      </w:r>
    </w:p>
    <w:p>
      <w:r>
        <w:t>Ritenuto che l’insorgente, anche se vincente in causa, non è rappre- sentato in questa sede da mandatario professionale e che non ha fatto valere né risulta, ad un esame d’ufficio, che abbia dovuto sopportare delle spese indispensabili e relativamente elevate in relazione alla procedura di</w:t>
      </w:r>
    </w:p>
    <w:p>
      <w:r>
        <w:t>C-2034/2024 Pagina 12 ricorso, non si giustifica l’attribuzione di spese ripetibili (art. 64 cpv. 1 PA in combinazione con l’art. 7 del regolamento del 21 febbraio 2008 sulle tasse e sulle spese ripetibili nelle cause dinanzi al Tribunale amministrativo fede- rale [TS-TAF; RS 173. 320.2]).</w:t>
      </w:r>
    </w:p>
    <w:p>
      <w:r>
        <w:t>(dispositivo alla pagina seguente)</w:t>
      </w:r>
    </w:p>
    <w:p>
      <w:r>
        <w:t>C-2034/2024 Pagina 13 Per questi motivi, il Tribunale amministrativo federale pronun- cia: 1. Il ricorso è accolto nel senso che la decisione impugnata del 12 marzo 2024 è annullata e gli atti di causa sono rinviati all'UAIE affinché proceda al com- pletamento dell'istruttoria e pronunci una nuova decisione ai sensi dei con- siderandi. 2. Non si prelevano spese processuali. 3. La domanda di assistenza giudiziaria, nel senso della dispensa dalle spese processuali, è divenuta priva d’oggetto. 4. Non sono assegnate spese ripetibili. 5. Questa sentenza è comunicata al ricorrente, all'autorità inferiore e all’UFAS.</w:t>
      </w:r>
    </w:p>
    <w:p>
      <w:r>
        <w:t>La presidente del collegio: Il cancelliere:</w:t>
      </w:r>
    </w:p>
    <w:p>
      <w:r>
        <w:t>Michela Bürki Moreni Oliver Engel</w:t>
      </w:r>
    </w:p>
    <w:p>
      <w:r>
        <w:t>I rimedi giuridici sono menzionati alla pagina seguente.</w:t>
      </w:r>
    </w:p>
    <w:p>
      <w:r>
        <w:t>C-2034/2024 Pagina 14</w:t>
      </w:r>
    </w:p>
    <w:p>
      <w:r>
        <w:t>Rimedi giuridici: Contro la presente decisione può essere interposto ricorso in materia di diritto pubblico al Tribunale federale, Schweizerhofquai 6, 6004 Lucerna, entro un termine di 30 giorni dalla sua notificazione, nella misura in cui 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