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C-2029/2009 vom 26. November 2009</w:t>
      </w:r>
    </w:p>
    <w:p>
      <w:r>
        <w:t>Bundesverwaltungsgericht, 2009-11-26, FR</w:t>
      </w:r>
    </w:p>
    <w:p>
      <w:r>
        <w:rPr>
          <w:b/>
        </w:rPr>
        <w:t xml:space="preserve">Quelle: </w:t>
      </w:r>
      <w:r>
        <w:t>https://mcp.opencaselaw.ch/entscheid/bvger_C-2029_2009</w:t>
      </w:r>
    </w:p>
    <w:p>
      <w:r>
        <w:t>FR: TAF C-2029/2009 du 26 novembre 2009</w:t>
      </w:r>
    </w:p>
    <w:p>
      <w:r>
        <w:t>IT: TAF C-2029/2009 del 26 novembre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1C_272/2009 du 8 septembre 2009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1C_272/2009 précité consid. 3.1).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 arrêt du Tribunal fédéral 1C_272/2009 du 8 septembre 2009 consid. 3.1).</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1C_272/2009 du 8 septembre 2009 consid. 3.1).</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6 avril 2004 à A._______ a été annulée par l'autorité intimée, avec l'assentiment des autorités compétentes du canton de Zurich, en date du 23 février 2009, soit avant l'échéance du délai péremptoire de cinq ans prévu par la disposition précitée (cf. sur cette question l'arrêt du Tribunal fédéral 1C_439/2008 du 6 novembre 2008 consid. 3 et la jurisprudence citée).</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A._______ a rencontré son futur époux, citoyen helvétique, au cours d'un séjour illégal en Suisse entre 1995 et février 1996. Revenue dans ce pays le 22 octobre 1996 pour y demander l'asile, elle a vu sa requête rejetée en première instance, mais a finalement retiré le recours introduit contre cette décision, suite à son mariage, le 11 juillet 1997, avec B._______. Le 24 décembre 1999, la police est intervenue pour régler un litige entre mari et femme et a constaté que ceux-ci voulaient se séparer. Le 24 septembre 2002, A._______ a introduit une procédure de naturalisation facilitée, dans le cadre de laquelle les époux ont contresigné, le 2 décembre 2003, une déclaration relative à la stabilité de leur mariage. La prénommée est devenue suisse par décision du 6 avril 2004. Suite aux requêtes introduites à quelques jours d'écart par les deux conjoints (elle le 17 et lui le 21 mai 2004), ceux-ci ont été autorisés à vivre séparés pour une durée indéterminée par mesures protectrices de l'union conjugale du 16 juillet 2004, Monsieur ayant à cette époque déjà quitté le logement familial (cf. jugement du 16 juillet 2004, p. 4s.). A ce propos, la date à laquelle la séparation est intervenue demeure peu claire, dès lors que les autorités lausannoises se sont référées au 7 juin 2004 et que l'ex-mari a mentionné les mois d'avril ou de mai 2004, ce que la recourante a tout d'abord confirmé (cf. lettre du 25 mars 2008 p. 2) avant d'indiquer à son tour le mois de juin 2004 (cf. observations du 15 mai 2009 p. 3s.). En tout état de cause, il demeure que la cohabitation n'a jamais repris entre les intéressés et que, le 28 octobre 2004, B._______ a requis unilatéralement le divorce, lequel a fini par être prononcé le 26 juillet 2006, avec l'accord des deux parties (cf. jugement de divorce du 26 juillet 2006 p. 29).</w:t>
      </w:r>
    </w:p>
    <w:p>
      <w:r>
        <w:rPr>
          <w:b/>
        </w:rPr>
        <w:t>E. 6.2</w:t>
      </w:r>
    </w:p>
    <w:p>
      <w:r>
        <w:t>Ces éléments et leur enchaînement chronologique particulièrement rapide sont de nature à fonder la présomption selon laquelle, au moment de la signature de la déclaration commune et a fortiori lors de la décision de naturalisation, A._______ et B._______ n'avaient plus la volonté de maintenir une communauté conjugale stable au sens de l'art. 27 LN. Le laps de temps entre la déclaration commune (décembre 2003), l'octroi de la naturalisation facilitée (avril 2004), l'introduction de requêtes de mesures protectrices de l'union conjugale (mai 2004), le départ de B._______ de l'appartement familial (entre avril et juin 2004), le jugement du 16 juillet 2004 prononçant la séparation des époux pour une durée indéterminée et le dépôt d'une demande de divorce (octobre 2004) laisse en effet présumer que le couple n'envisageait déjà plus une vie future partagée lors de la signature de ladite déclaration de vie commune, respectivement au moment du prononcé de la décision de naturalisation, qu'à ce moment-là déjà, la stabilité requise du mariage n'existait plus et que la naturalisation a été acquise au moyen de déclarations mensongères et en dissmulant des faits essentiels.</w:t>
      </w:r>
    </w:p>
    <w:p>
      <w:r>
        <w:rPr>
          <w:b/>
        </w:rPr>
        <w:t>E. 6.3</w:t>
      </w:r>
    </w:p>
    <w:p>
      <w:r>
        <w:t>Dans son recours du 26 mars 2009 et sa réplique du 17 août 2009, A._______ a versé en cause divers documents dans le but de renverser la présomption précitée.</w:t>
      </w:r>
    </w:p>
    <w:p>
      <w:r>
        <w:rPr>
          <w:b/>
        </w:rPr>
        <w:t>E. 6.3.1</w:t>
      </w:r>
    </w:p>
    <w:p>
      <w:r>
        <w:t>D'emblée, il faut rappeler qu'en matière d'octroi de la naturalisation facilitée, la communauté conjugale doit être intacte et effectivement vécue du dépôt de la demande de naturalisation jusqu'à l'octroi de la nationalité helvétique (cf. consid. 3.2 supra et réf. cit.). Partant, contrairement à ce que soutient la recourante (cf. mémoire de recours p. 2 et réplique du 17 août 2009 p. 1), il ne faut pas focaliser l'analyse uniquement sur le moment de la signature de la déclaration de vie commune. Cela dit, aucun des éléments apportés par A._______ ne démontre que son mariage avec un ressortissant suisse était intact du dépôt de la requête de naturalisation, le 24 septembre 2002, jusqu'à l'octroi de celle-ci, le 6 avril 2004.</w:t>
      </w:r>
    </w:p>
    <w:p>
      <w:r>
        <w:rPr>
          <w:b/>
        </w:rPr>
        <w:t>E. 6.3.2</w:t>
      </w:r>
    </w:p>
    <w:p>
      <w:r>
        <w:t>Tout d'abord, il n'est pas déterminant que les intéressés aient conclu un contrat de bail à loyer portant sur une place de parc le 19 juin 2003, soit cinq mois et demi avant la signature de la déclaration du 2 décembre 2003 et neuf mois et demi avant l'octroi de la naturalisation. En outre, les polices d'assurance contractées par B._______ le 24 septembre 2002 (et non en janvier 2004, comme indiqué dans le recours du 26 mars 2009 p. 6) et par la recourante le 27 janvier 2004 ne sauraient revêtir un poids décisif en l'espèce. En effet, celle du prénommé - rachetée puis annulée entre août et octobre 2004 - a été conclue le jour du dépôt de la demande de naturalisation de la recourante et ne peut donc préjuger de l'état des relations conjugales au moment de la déclaration de vie commune, respectivement lors de l'octroi de la naturalisation facilitée ; de même, la police de la recourante, du 27 janvier 2004, ne saurait être un indicateur suffisant de la stabilité maritale au moment de l'octroi de la nationalité suisse le 6 avril 2004. En outre, les bénéficiaires de chacune de ces deux polices ne sont pas explicitement mentionnés (contrairement à ce que prétend la recourante, cf. mémoire du 26 mars 2009 p. 4 et réplique du 17 août 2009), mais désignés par un renvoi aux conditions générales d'assurance, lesquelles n'ont pas été versées au dossier de sorte que le Tribunal ne peut en vérifier la teneur. Quant à la lettre du 18 mars 2009 émanant d'un conseiller en prévoyance expliquant avoir conclu une police n° [x] avec AS._______ (sic) en compagnie de l'ex-époux de celle-ci en vue de concrétiser des projets communs, le Tribunal relève que la police versée en cause par la recourante porte la référence [xx] et celle de l'ex-mari le numéro [xxx]. Dans ces circonstances, les déclarations figurant dans la lettre du 18 mars 2009 précitée sont sujettes à caution. En tout état de cause, les seuls dires d'un conseiller en prévoyance n'ayant qu'une connaissance somme toute superficielle de ses clients ne sauraient suffire à établir l'existence d'une communauté conjugale effective et stable. C'est le lieu de relever que le fait que les ex-époux aient donné l'apparence d'un couple uni (cf. notamment lettres des 24 mars 2009 et 8 novembre 2007) ne suffit pas, en soi, à renverser la présomption de fait relative à l'obtention frauduleuse de la naturalisation, dès lors qu'une telle situation aurait tout aussi bien pu exister entre deux adultes entretenant des rapports amicaux et des centres d'intérêts communs, plutôt qu'au sein d'une véritable communauté conjugale. Aussi, même s'il faut admettre, compte tenu des pièces versées au dossier, que B._______ s'est rendu l'un ou l'autre jour au marché de Noël de Schaffhouse à la fin 2003 et qu'il a accompagné son ex-femme à Salzbourg en avril 2004, il demeure que ces éléments ne sauraient, à eux seuls, renverser la présomption de fait susmentionnée. Il en va de même de la déclaration qu'aurait remplie B._______ à la douane pour le compte de la recourante le 8 janvier 2004, ainsi que du visa Schengen requis par l'intéressé en faveur de D._______ le 7 avril 2004 - éléments qui, en tant que tels, s'ils parlent en faveur d'une certaine collaboration entre les intéressés, n'attestent pas pour autant de la stabilité de la vie conjugale. Concernant la célébration des fêtes de Noël de 2003 auprès d'une amie vivant à Zurich, le Tribunal ne saurait davantage considérer cet élément comme déterminant, compte tenu des explications divergentes fournies par l'hôtesse en question. En effet, il est troublant que cette dernière ait tantôt indiqué avoir passé ledit Noël avec toute la famille AB._______ (cf. lettre du 8 novembre 2007 et lettre ouverte de novembre 2007, produites le 12 novembre 2007), tantôt n'avoir accueilli qu'A._______ et ses deux enfants, B._______ se limitant à les visiter à deux reprises (cf. lettre ouverte de mars 2004).</w:t>
      </w:r>
    </w:p>
    <w:p>
      <w:r>
        <w:rPr>
          <w:b/>
        </w:rPr>
        <w:t>E. 6.4</w:t>
      </w:r>
    </w:p>
    <w:p>
      <w:r>
        <w:t>A en croire la recourante, la désunion serait survenue subitement en 2004, pour culminer en juillet 2006 (cf. déterminations des 12 novembre 2007 p. 2 et 15 janvier 2009 p. 3). Force est toutefois de constater qu'A._______ n'a avancé aucun motif plausible propre à justifier une si brusque dégradation des rapports conjugaux. Au contraire, elle a paradoxalement fait valoir que si les problèmes d'alcool de son ex-époux avaient certes émaillé leur union, celle-ci n'en avait pas moins été effective et stable (cf. observations du 12 novembre 2007 p. 2). Or, de deux choses l'une : soit l'alcoolisme de l'intéressé était réellement une source de tension, auquel cas l'on ne saurait considérer que la vie commune fût harmonieuse durant le mariage, soit il n'en était rien, ce qui nuirait assurément à la crédibilité des propos de la prénommée. A cet égard, il faut relever que B._______ a constament nié avoir le moindre problème d'alcool (cf. procès-verbal d'audition du 14 mars 2008 p. 3 rubrique 2.4 et jugement du 16 juillet 2004 p. 5). En tout état de cause, il n'est pas vraisemblable que dans un couple prétendument uni et heureux, marié depuis près de sept ans, les époux mettent subitement fin à toute vie commune et que l'un d'eux entame de manière aussi soudaine une procédure de divorce sans raison particulière. C'est le lieu de relever qu'A._______ s'est gardée de commenter les déclarations de son ex-mari concernant les différends d'ordre financier qui seraient survenus dès le mariage (cf. procès-verbal d'audition de B._______ du 14 mars 2008 p. 3 ch. 2.3). Partant, en l'absence d'élément contraire, tout porte à croire que ceux-ci constituaient une source latente de désaccord entre les intéressés. Du reste, il ressort des pièces du dossier que ces derniers ont connu très tôt des rapports houleux, puisqu'ils avaient déjà songé à se séparer en date du 24 décembre 1999, suite à une dispute ayant nécessité l'intervention de la police (cf. rapport de police du 10 décembre 2002 p. 2). C'est d'ailleurs suite à une nouvelle querelle que B._______ a quitté le domicile conjugal, sur invitation des forces de l'ordre (cf. procès-verbal d'audition du prénommé du 14 mars 2008 p. 3 ch. 2.7 et lettre du 25 mars 2008 p. 2). Les intéressés se sont, de plus, réciproquement reprochés des violences conjugales (cf. jugement du 16 juillet 2004 p. 4 et procès-verbal d'audition du 14 mars 2008 p. 3 ch. 2.4). Du reste, il est révélateur que le jugement civil du 16 juillet 2004 ait constaté qu'une grande tension régnait entre les époux (p. 4). Au demeurant, dans sa lettre du 7 novembre 2007, le prénommé a admis l'existence de problèmes conjugaux, à l'instar de la recourante (cf. observations du 15 janvier 2009 p. 4). Dans ces conditions, les déclarations des ex-époux AB._______ (cf. d'une part procès-verbal d'audition de B._______ du 14 mars 2008 p. 4 ch. 2.9 et p. 5 ch. 4.1, et, d'autre part, écritures du 25 avril 2008 p. 2 et lettre du 15 janvier 2009 p. 3) selon lesquelles ils auraient connu une période de stabilité lors de la signature de la déclaration de vie commune, en décembre 2003, et n'auraient envisagé la question de la séparation ou du divorce qu'à partir du printemps 2004 apparaissent sujettes à caution, cela d'autant plus que l'ex-mari a déclaré que des menaces de séparation avaient déjà été proférées par lui en décembre 2003 (cf. procès-verbal d'audition du 14 mars 2008 p. 5 ch. 4.1). Ainsi, les considérations précitées tendent à démontrer que les intéressés ne connaissaient pas une vie conjugale harmonieuse et qu'au contraire, l'instabilité du couple était déjà sous-jacente lors de la signature de la déclaration de vie commune du 2 décembre 2003 et, a fortiori, de l'octroi de la nationalité helvétique.</w:t>
      </w:r>
    </w:p>
    <w:p>
      <w:r>
        <w:rPr>
          <w:b/>
        </w:rPr>
        <w:t>E. 6.5</w:t>
      </w:r>
    </w:p>
    <w:p>
      <w:r>
        <w:t>S'agissant du revirement effectué par B._______ dans sa lettre du 14 mars 2008 eu égard à son précédent courrier du 7 novembre 2007, il faut relever - à l'instar de la recourante (cf. mémoire de recours p. 6) - que le chantage allégué par le prénommé n'a été mentionné qu'après l'audition du même jour, que l'existence desdites pressions n'est pas établie et que la lettre du 14 mars 2008 a été rédigée alors que les ex-époux étaient en litige concernant la dette d'aliment de l'intéressé (cf. mémoire de recours p. 6). En tout état de cause, le Tribunal renonce à examiner plus avant cette question, dès lors que ni la lettre du 7 novembre 2007 ni celle du 14 mars 2008 ne sauraient être considérées comme déterminantes pour l'issue du présent litige, compte tenu des considérations émises ci-dessus (cf. consid. 6.2 et 6.4 supra). Au demeurant, s'il y a, certes, lieu de prendre en compte que l'audition de B._______ du 14 mars 2008 s'est déroulée alors que les ex-époux s'opposaient sur la question de la pension alimentaire due par Monsieur, il n'en demeure pas moins qu'en préambule audit entretien, l'intéressé a été invité à dire la vérité, ce qu'il a certifié avoir fait (cf. procès-verbal d'audition du 14 mars 2008 p. 1 et 5). Partant, même si une certaine réserve s'impose, l'on ne saurait totalement faire fi des propos tenus par B._______ le 14 mars 2008 - quoi qu'en dise la recourante (cf. mémoire de recours p. 6) - notamment lorsque celui-ci affirme que son ex-femme a changé d'attitude après l'obtention de la nationalité helvétique, devenant "moins conciliante" (cf. procès-verbal d'audition p. 5 ch. 6), et qu'elle n'a mis fin à une première union au Burkina Faso que pour venir se marier en Suisse et obtenir un titre de séjour (cf. ibidem, ch. 7).</w:t>
      </w:r>
    </w:p>
    <w:p>
      <w:r>
        <w:rPr>
          <w:b/>
        </w:rPr>
        <w:t>E. 6.6</w:t>
      </w:r>
    </w:p>
    <w:p>
      <w:r>
        <w:t>Par ailleurs, d'autres indices laissent à penser que la naturalisation facilitée a été obtenue frauduleusement. Tout d'abord, il y a lieu de souligner la rapidité avec laquelle le prénommé a refait sa vie, engendrant deux enfants nés en janvier 2006 au Congo (cf. ordonnance de mesures provisoires du Président du Tribunal civil de l'arrondissement de Lausanne du 21 avril 2008 p. 7s., produite le 25 avril 2008), ainsi qu'une fillette née en juillet 2006, dont il a épousé la mère en janvier 2008. De surcroît, lors de son audition du 14 mars 2008, B._______ a déclaré que son ex-femme s'était rendue plusieurs fois par année en Afrique et notamment au Burkina Faso au cours de la vie commune, mais qu'il ne l'avait jamais accompagnée pour des raisons professionnelles, lesquelles n'ont toutefois pas empêché le couple de voyager au Congo et en Europe (cf. procès-verbal d'audition du 14 mars 2008 p. 3s.). Enfin, les ex-époux semblent avoir eu une vie associative relativement limitée (cf. dit procès-verbal p. 5 : "Mis à part la vie commune dans [l']appartement, rien de particulier").</w:t>
      </w:r>
    </w:p>
    <w:p>
      <w:r>
        <w:rPr>
          <w:b/>
        </w:rPr>
        <w:t>E. 6.7</w:t>
      </w:r>
    </w:p>
    <w:p>
      <w:r>
        <w:t>Aussi, à défaut d'éléments convaincants apportés par la recourante, le Tribunal est d'avis qu'il y a lieu de s'en tenir à la présomption de fait, fondée essentiellement sur l'enchaînement rapide des événements, selon laquelle l'union formée par A._______ et B._______ ne présentait plus l'intensité et la stabilité requises lors de la signature de la déclaration de vie commune et, a fortiori, au moment de la décision de naturalisation facilitée.</w:t>
      </w:r>
    </w:p>
    <w:p>
      <w:r>
        <w:rPr>
          <w:b/>
        </w:rPr>
        <w:t>E. 7</w:t>
      </w:r>
    </w:p>
    <w:p>
      <w:r>
        <w:t>Partant, l'ODM était parfaitement fondé à considérer que la naturalisation facilitée conférée à A._______ le 6 avril 2004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par sa décision du 23 février 2009, l'ODM n'a pas violé le droit fédéral, ni constaté des faits pertinents de manière inexacte ou incomplète ; en outre, la décision attaquée n'est pas inopportune (cf. art. 49 PA). En conséquence, le recours est rejeté.</w:t>
      </w:r>
    </w:p>
    <w:p>
      <w:r>
        <w:rPr>
          <w:b/>
        </w:rPr>
        <w:t>E. 9</w:t>
      </w:r>
    </w:p>
    <w:p>
      <w:r>
        <w:t>Vu l'issue de la cause, il y a lieu de mettre les frais de procédure, d'un montant de Fr. 800.-,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