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C-2016/2007 vom 14. Januar 2009</w:t>
      </w:r>
    </w:p>
    <w:p>
      <w:r>
        <w:t>Bundesverwaltungsgericht, 2009-01-14, DE</w:t>
      </w:r>
    </w:p>
    <w:p>
      <w:r>
        <w:rPr>
          <w:b/>
        </w:rPr>
        <w:t xml:space="preserve">Quelle: </w:t>
      </w:r>
      <w:r>
        <w:t>https://mcp.opencaselaw.ch/entscheid/bvger_C-2016_2007</w:t>
      </w:r>
    </w:p>
    <w:p>
      <w:r>
        <w:t>FR: TAF C-2016/2007 du 14 janvier 2009</w:t>
      </w:r>
    </w:p>
    <w:p>
      <w:r>
        <w:t>IT: TAF C-2016/2007 del 14 gennaio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zu prüfen, welche Rechtsnormen im vorliegenden Verfahren zur Anwendung gelangen.</w:t>
      </w:r>
    </w:p>
    <w:p>
      <w:r>
        <w:rPr>
          <w:b/>
        </w:rPr>
        <w:t>E. 2.1</w:t>
      </w:r>
    </w:p>
    <w:p>
      <w:r>
        <w:t>Der Beschwerdeführer ist Staatsangehöriger von Mazedonien und lebt dort, so dass vorliegend das am 1. Januar 2002 in Kraft getretene Abkommen zwischen der Schweizerischen Eidgenossenschaft und der Republik Mazedonien über Soziale Sicherheit vom 9. Dezember 1999 (SR 0.831.109.520.1) anwendbar ist. Gemäss Art. 4 Abs. 1 des Abkommens sind die Staatsangehörigen des einen Vertragsstaates sowie deren Familienangehörige und Hinterlassene in ihren Rechten und Pflichten aus den Rechtsvorschriften des anderen Vertragsstaates den Angehörigen dieses Vertragsstaates bzw. deren Angehörigen und Hinterlassenen gleichgestellt; abweichende Bestimmungen bleiben vorbehalten.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entsprechenden Verordnung vom 11. September 2002 (ATSV, SR 830.11).</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Zunächst sind die zur Beurteilung der Streitsache massgebenden gesetzlichen Grundlagen und die von der Rechtsprechung entwickelten Grundsätze darzulegen.</w:t>
      </w:r>
    </w:p>
    <w:p>
      <w:r>
        <w:rPr>
          <w:b/>
        </w:rPr>
        <w:t>E. 3.1</w:t>
      </w:r>
    </w:p>
    <w:p>
      <w:r>
        <w:t>Gemäss bundesgerichtlicher Rechtsprechung sind im Beschwerdeverfahren grundsätzlich für die Bestimmung des rechtserheblichen Sachverhalts die tatsächlichen Verhältnisse zur Zeit des Erlasses des strittigen Entscheids, vorliegend demnach der 20. Februar 2007, massgebend (BGE 132 V 368 E. 6.1 mit Hinweisen).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EVG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EVG vom 20. März 2006, I 655/05 E. 5.4 mit Hinweisen).</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3.6</w:t>
      </w:r>
    </w:p>
    <w:p>
      <w:r>
        <w:t>Gemäss Art. 28 Abs. 1 IVG haben Versicherte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vorliegend jedoch nicht der Fall ist.</w:t>
      </w:r>
    </w:p>
    <w:p>
      <w:r>
        <w:rPr>
          <w:b/>
        </w:rPr>
        <w:t>E. 3.7</w:t>
      </w:r>
    </w:p>
    <w:p>
      <w:r>
        <w:t>Der Rentenanspruch entsteht gemäss Art. 29 Abs. 1 IVG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w:t>
      </w:r>
    </w:p>
    <w:p>
      <w:r>
        <w:rPr>
          <w:b/>
        </w:rPr>
        <w:t>E. 3.8</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4</w:t>
      </w:r>
    </w:p>
    <w:p>
      <w:r>
        <w:t>Wird wie im vorliegenden Fall eine befristete (ganze) Invalidenrente verfügt und - mit einer gleichentags erlassenen zweiten Verfügung - diese Rente unmittelbar ab dem Ende der Befristung aufgehoben oder abgeändert, so stellt diese zweite Anordnung materiell eine Rentenrevisionsverfügung dar, auf die folglich die entsprechenden Bestimmungen anwendbar sind. Dies gilt auch dann, wenn - wie vorliegend -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4.1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4.2</w:t>
      </w:r>
    </w:p>
    <w:p>
      <w:r>
        <w:t>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 Abs. 1 Satz 2 IVV). Gemäss Art. 88bis Abs. 2 lit. a IVV erfolgt die Herabsetzung einer Rente in jedem Fall frühestens vom ersten Tag des zweiten Monats an, welcher der Zustellung der Herabsetzungsverfügung folgt.</w:t>
      </w:r>
    </w:p>
    <w:p>
      <w:r>
        <w:rPr>
          <w:b/>
        </w:rPr>
        <w:t>E. 5</w:t>
      </w:r>
    </w:p>
    <w:p>
      <w:r>
        <w:t>Nachfolgend ist zu prüfen, ob sich der gesundheitliche Zustand des Beschwerdeführers im fraglichen Zeitfenster verändert hat und ob er aufgrund der diagnostizierten gesundheitlichen Einschränkungen in seiner Arbeitsfähigkeit (immer noch) rentenrelevant eingeschränkt ist. Dabei bildet der Sachverhalt, wie er sich am 1. Februar 2004 präsentiert hat, den zeitlichen Ausgangspunkt, wurde doch dem Beschwerdeführer mit der Rentenverfügung vom 20. Februar 2007 ab diesem Stichtag eine ganze Rente gewährt. Diese Ausgangslage ist dem Zeitfenster nach dem 30. September 2004, für welches die Rente aufgehoben wurde, gegenüber zu stellen.</w:t>
      </w:r>
    </w:p>
    <w:p>
      <w:r>
        <w:rPr>
          <w:b/>
        </w:rPr>
        <w:t>E. 5.1</w:t>
      </w:r>
    </w:p>
    <w:p>
      <w:r>
        <w:t>Der Beschwerdeführer macht geltend, er sei nicht mehr in der Lage erwerbstätig zu sein; dies bestätige das Gutachten der mazedonischen Invalidenkommission und entspreche auch seinem persönlichen Empfinden. Er beantrage eine erneute Begutachtung.</w:t>
      </w:r>
    </w:p>
    <w:p>
      <w:r>
        <w:rPr>
          <w:b/>
        </w:rPr>
        <w:t>E. 5.2</w:t>
      </w:r>
    </w:p>
    <w:p>
      <w:r>
        <w:t>Die IV-Stelle macht demgegenüber geltend, aufgrund der Erkenntnisse aus den vorliegenden ärztlichen Gutachten sei dem Beschwerdeführer eine leichte Tätigkeit mit wechselnder Körperhaltung vollzeitlich zumutbar. Der Einkommensvergleich ergebe bei Annahme einer vollzeitigen Ausübung einer leidensangepassten, leichten Verweisungstätigkeit eine gesundheitlich bedingte Erwerbseinbusse von knapp 18%, weshalb er keinen Rentenanspruch habe.</w:t>
      </w:r>
    </w:p>
    <w:p>
      <w:r>
        <w:rPr>
          <w:b/>
        </w:rPr>
        <w:t>E. 5.3</w:t>
      </w:r>
    </w:p>
    <w:p>
      <w:r>
        <w:t>Die mazedonische Invalidenkommission hat den Gesundheitszustand des Beschwerdeführers eingehend abgeklärt und mit Bericht vom 8. Juli 2004 folgende Feststellungen getroffen: Der Beschwerdeführer sei in den Jahren 2002 und 2003 zwei Mal am Rücken wegen Schmerzen im Lumbalbereich operiert worden und habe im Anschluss daran Bade- sowie Physiotherapie erhalten. Die Schmerzen im Lumbalbereich sowie die Ausstrahlung in das linke Bein hielten jedoch an. Zudem habe der Beschwerdeführer seit einigen Jahren Krampfadern in beiden Beinen sowie einen erhöhten Blutdruck und erhöhte Blutzuckerwerte. Konkret wurden folgende Diagnosen beim Beschwerdeführer gestellt: (1) Diskushernie; (2) Venenentzündungen und (3) Diabetes mellitus. Diese gesundheitlichen Einschränkungen führten seit dem 29. Juni 2004 zu einer Arbeitsunfähigkeit. Die Arbeitsunfähigkeit beziehe sich auf seine letzte Arbeitstätigkeit als Bauarbeiter und bestehe in einem Umfang von 70%. Über die Arbeitsfähigkeit in einer Verweistätigkeit hat sich die Invalidenkommission nicht geäussert.</w:t>
      </w:r>
    </w:p>
    <w:p>
      <w:r>
        <w:rPr>
          <w:b/>
        </w:rPr>
        <w:t>E. 5.4</w:t>
      </w:r>
    </w:p>
    <w:p>
      <w:r>
        <w:t>Gemäss Attest von Dr. N._______ vom 7. Oktober 2005 leidet der Beschwerdeführer trotz Operation und Therapie nach wie vor an Schmerzen aufgrund einer Diskushernie im Bereich L4-L5. Er habe ihm einige Übungen gezeigt, die er zu Hause machen könne, sowie Ratschläge zum korrekten Verhalten erteilt.</w:t>
      </w:r>
    </w:p>
    <w:p>
      <w:r>
        <w:rPr>
          <w:b/>
        </w:rPr>
        <w:t>E. 5.5</w:t>
      </w:r>
    </w:p>
    <w:p>
      <w:r>
        <w:t>Dem Bundesverwaltungsgericht liegen die von der IV-Stelle angefertigten Übersetzungen der mit Replik vom 4. Juni 2007 eingereichten zahlreichen Kurzatteste nicht vor. Allerdings hat der Beschwerdeführer in seiner Triplik vom 2. Januar 2008 nicht geltend gemacht, die Kurzatteste seien von der IV-Stelle falsch verstanden worden, so dass sich das Bundesverwaltungsgericht nicht veranlasst sah, diese Atteste zusätzlich übersetzen zu lassen.</w:t>
      </w:r>
    </w:p>
    <w:p>
      <w:r>
        <w:rPr>
          <w:b/>
        </w:rPr>
        <w:t>E. 5.6</w:t>
      </w:r>
    </w:p>
    <w:p>
      <w:r>
        <w:t>Dr. H._______, Arzt des medizinischen Diensts der IV-Stelle, hat mit Bericht vom 15. August 2006 die ihm vorliegenden Gutachten und Untersuchungsbefunde ausgewertet und hat für den Beschwerdeführer folgende Befunde bestätigt: (1) Lumboischialgie bei mehretagigem Bandscheibenleiden; (2) postthrombotisches Syndrom des linken Beines und (3) metabolisches Syndrom mit Diabetes mellitus, diabetische Angiopathie. Er attestiert dem Beschwerdeführer in seiner angestammten Tätigkeit eine Arbeitsunfähigkeit von 100% seit dem 27. August 2002 und eine solche von 50% sei dem 29. Juni 2004. In einer leichten bis mittleren Verweisungstätigkeit liege seit dem 27. August 2002 noch eine Arbeitsunfähigkeit zu 50% vor. Seit dem 29. Juni 2004 sei in einer Verweistätigkeit von einer vollen Arbeitsfähigkeit des Beschwerdeführers auszugehen, da er zu diesem Zeitpunkt den langwierigen Heilungsverlauf der beiden Rückenoperationen in den Jahren 2002 und 2003 überwunden habe. Er sei demzufolge in der Lage, vollzeitlich einer Arbeit mit Wechselhaltungen ohne ausschliessliches Stehen nachzugehen. Er dürfe keine Lasten über 15 kg heben und keine schwere Arbeit verrichten. Mögliche Arbeiten seien beispielsweise folgende: Hilfsarbeiter in einer Fabrik, Hauswart, Portier, Magaziner, Auslieferer von kleinen Waren mit einem Fahrzeug sowie Parkplatz- oder Museumsaufseher. Eine Arbeitsunfähigkeit von 70% als Bauarbeiter sei nachvollziehbar. Allerdings sei dies nicht seine letzte Tätigkeit gewesen, da er vor Eintritt der Arbeitsunfähigkeit zuletzt als selbständiger Eigenversorger gearbeitet habe.</w:t>
      </w:r>
    </w:p>
    <w:p>
      <w:r>
        <w:rPr>
          <w:b/>
        </w:rPr>
        <w:t>E. 5.7</w:t>
      </w:r>
    </w:p>
    <w:p>
      <w:r>
        <w:t>Zusammenfassend ist festzuhalten, dass die befragten Ärzte übereinstimmend davon ausgehen, der Beschwerdeführer sei in seiner bisherigen Arbeit aufgrund seines Rückenleidens wesentlich eingeschränkt. Zu den Einschränkungen in einer Verweisungstätigkeit äussert sich weder das Gutachten der mazedonischen Invalidenkommission noch das Attest von Dr. N._______. Einzig der Arzt der IV-Stelle äussert sich dazu und bestätigt, dass der Beschwerdeführer in der Zeit nach der zweiten Rückenoperation aufgrund des abgeschlossenen Heilungsverlaufs und der durch die Operation erreichte Verbesserung des Gesundheitszustandes eine leichte bis mittlere, wechselseitige Tätigkeit vollzeitlich ausüben könne. Widersprüche zwischen den einzelnen Gutachten sind nicht auszumachen. Die in sich schlüssige Beurteilung der IV-Stelle, die ihrem Entscheid eine Verbesserung des Gesundheitszustandes und daraus folgend eine volle Arbeitsfähigkeit in einer leidensangepassten Tätigkeit zugrunde legte, ist demnach nicht zu beanstanden. Die Voraussetzungen für eine Rentenrevision sind somit erfüllt.</w:t>
      </w:r>
    </w:p>
    <w:p>
      <w:r>
        <w:rPr>
          <w:b/>
        </w:rPr>
        <w:t>E. 6</w:t>
      </w:r>
    </w:p>
    <w:p>
      <w:r>
        <w:t>Zu prüfen bleibt der von der IV-Stelle durchgeführte Einkommensvergleich.</w:t>
      </w:r>
    </w:p>
    <w:p>
      <w:r>
        <w:rPr>
          <w:b/>
        </w:rPr>
        <w:t>E. 6.1</w:t>
      </w:r>
    </w:p>
    <w:p>
      <w:r>
        <w:t>Gestützt auf die Bestätigung der früheren Arbeitgeberin des Beschwerdeführers sowie der gemeldeten Einkommen des Beschwerdeführers ist die IV-Stelle davon ausgegangen, dass der Beschwerdeführer letztmals im Jahr 1996 ein Einkommen in der Schweiz erzielt hat. Das Einkommen, welches der Beschwerdeführer in Mazedonien als Eigenversorger erzielt hatte, war nicht zu ermitteln. Bei der Durchführung des Einkommensvergleichs ist die IV-Stelle deshalb zu Gunsten des Beschwerdeführers von einem (aufgerechneten, hypothetischen) Valideneinkommen als Bauarbeiter im Jahr 2004 von monatlich Fr. 5'034.23 (auf der Basis einer branchenüblichen Woche mit 41,7 Wochenstunden) ausgegangen. Dies ist zutreffend und wird vom Beschwerdeführer auch nicht bestritten.</w:t>
      </w:r>
    </w:p>
    <w:p>
      <w:r>
        <w:rPr>
          <w:b/>
        </w:rPr>
        <w:t>E. 6.2</w:t>
      </w:r>
    </w:p>
    <w:p>
      <w:r>
        <w:t>Bei der Ermittlung des Invalideneinkommens hat die IV-Stelle ausnahmsweise auf schweizerische Vergleichslöhne des Bundesamtes für Statistik abgestellt, da in Bezug auf Mazedonien keine Angaben zu Vergleichslöhnen vorhanden sind und auch bereits das Valideneinkommen auf der Basis seines schweizerischen Einkommens errechnet wurde. Zu Gunsten des Beschwerdeführers wurden dabei die drei Tätigkeiten mit den geringsten Einkommen berücksichtigt. Es sind dies: einfache Tätigkeiten in der Nahrungsmittelindustrie (monatliches Einkommen von Fr. 4'452.--, im Dienstleistungssektor (monatliches Einkommen von Fr. 4'181.--) oder im Grosshandel (monatliches Einkommen von Fr. 4'672.--). Durchschnittlich ergibt das ein Invalideneinkommen von Fr. 4'435.-- respektive Fr. 4'612.40 (bei 41,6 Stunden/Woche). Die IV-Stelle hat sodann bei der Berechnung des Invaliditätsgrades unter Berücksichtigung der persönlichen Umstände des Beschwerdeführers zusätzlich einen leidensbedingten Abzug von 10% vorgenommen. Nach der Rechtsprechung ist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Es rechtfertigt sich nicht, für jedes zur Anwendung gelangende Merkmal separat quantifizierte Abzüge vorzunehmen und diese zusammenzuzählen, da damit Wechselwirkungen ausgeblendet werden.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zu begrenzen (zum Ganzen: BGE 126 V 75). Indem die IV-Stelle den leidensbedingten Abzug zufolge Einschränkung der ihm noch möglichen Tätigkeiten auf leichtere Arbeiten mit 10% festgesetzt hat, hat sie der Situation des Beschwerdeführers hinreichend Rechnung getragen. Der Vergleich des Valideneinkommens von Fr. 5'034.23 und des Invalideneinkommens von Fr. 4'151.16 ergibt einen Invaliditätsgrad von 17,54%. Auch hier ist nicht ersichtlich, inwiefern der Entscheid der IV-Stelle zu beanstanden wäre. Der Beschwerdeführer rügt denn auch die Berechnung zu Recht nicht.</w:t>
      </w:r>
    </w:p>
    <w:p>
      <w:r>
        <w:rPr>
          <w:b/>
        </w:rPr>
        <w:t>E. 7</w:t>
      </w:r>
    </w:p>
    <w:p>
      <w:r>
        <w:t>Zusammenfassend ist festzuhalten, dass dem Beschwerdeführer eine volle Arbeitsfähigkeit in einer leidensangepassten Tätigkeit möglich ist und aufgrund des Einkommensvergleichs ein Invaliditätsgrad von 17,54% resultiert. Der Beschwerdeführer ist demzufolge mit diesem Invaliditätsgrad nicht mehr rentenberechtigt. Die Beschwerde ist somit abzuweisen.</w:t>
      </w:r>
    </w:p>
    <w:p>
      <w:r>
        <w:rPr>
          <w:b/>
        </w:rPr>
        <w:t>E. 8.1</w:t>
      </w:r>
    </w:p>
    <w:p>
      <w:r>
        <w:t>Nach der Praxis des Bundesverwaltungsgerichts ist das Verfahren kostenlos (Übergangsbestimmungen zur Änderung des IVG vom 16. Dezember 2005 [AS 2006 2004], lit. c in Verbindung mit Art. 69 Abs. 1bis IVG in der Fassung vom 16. Dezember 2005, in Kraft seit 1. Juli 2006 [AS 2006 2003] bzw. in Verbindung mit Art. 69 Abs. 2 IVG).</w:t>
      </w:r>
    </w:p>
    <w:p>
      <w:r>
        <w:rPr>
          <w:b/>
        </w:rPr>
        <w:t>E. 8.2</w:t>
      </w:r>
    </w:p>
    <w:p>
      <w:r>
        <w:t>Bei diesem Ausgang des Verfahrens ist keine Parteientschädigung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