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C-200/2012 vom 3. Mai 2013</w:t>
      </w:r>
    </w:p>
    <w:p>
      <w:r>
        <w:t>Bundesverwaltungsgericht, 2013-05-03, IT</w:t>
      </w:r>
    </w:p>
    <w:p>
      <w:r>
        <w:rPr>
          <w:b/>
        </w:rPr>
        <w:t xml:space="preserve">Quelle: </w:t>
      </w:r>
      <w:r>
        <w:t>https://mcp.opencaselaw.ch/entscheid/bvger_C-200_2012</w:t>
      </w:r>
    </w:p>
    <w:p>
      <w:r>
        <w:t>FR: TAF C-200/2012 du 3 mai 2013</w:t>
      </w:r>
    </w:p>
    <w:p>
      <w:r>
        <w:t>IT: TAF C-200/2012 del 3 maggio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 Per il periodo fino al 31 maggio 2002 rimane quindi applicabile la Convenzione del 14 dicembre 1962 tra la Confederazione svizzera e la Repubblica italiana relativa alla sicurezza sociale (RS 0.831.109.454.2).</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si applicano quindi in concreto, visto che la procedura di revisione è stata iniziata nel 2010, ma non le norme della 6a revisione della LAI (primo pacchetto di misure), in vigore dal 1° gennaio 2012 (RU 2011 5659; FF 2010 1603). Sono inoltre applicabili le disposizioni della LPGA, se e per quanto la LAI lo preveda (art. 2 LPGA).</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4.3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4.5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5</w:t>
      </w:r>
    </w:p>
    <w:p>
      <w:r>
        <w:t>Il ricorrente contesta la validità materiale della decisione dell'UAIE, chiedendo che gli sia riconosciuto il diritto ad una rendita intera d'invalidità o di grado inferiore.</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ed esecuzione del raffronto dei redditi (DTF 133 V 108).</w:t>
      </w:r>
    </w:p>
    <w:p>
      <w:r>
        <w:rPr>
          <w:b/>
        </w:rPr>
        <w:t>E. 7.2</w:t>
      </w:r>
    </w:p>
    <w:p>
      <w:r>
        <w:t>In concreto, la decisione iniziale è stata pronunciata il 17 giugno 1994 (doc. 92), mentre la decisione di revisione qui impugnata è stata emessa il 2 dicembre 2011 (doc. 222), con decisioni (non formali) intercalari intervenute il 24 agosto 1998 (doc. 113), il 4 luglio 2003 (doc. 131), il 13 giugno 2005 (doc. 136) e il 28 giugno 2007 (doc. 156). Ne consegue che, seguendo la giurisprudenza, il periodo di riferimento per giudicare se verosimilmente è intervenuta una modifica rilevante del grado d'invalidità, tale da giustificare la riduzione da metà ad un quarto di rendita, come disposto dall'UAIE, è quello tra il 28 giugno 2007, data dell'ultima decisione di revisione con esame materiale completo della fattispecie, ed il 2 dicembre 2011.</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9</w:t>
      </w:r>
    </w:p>
    <w:p>
      <w:r>
        <w:t>In concreto, dalla documentazione medica agli atti e, in particolare, dalla perizia E 213 della dott.ssa B._______, medico dell'INPS, del 22 giugno 2010 (doc. 173), dal rapporto finale del dott. C._______, medico dell'UAIE, dell'11 agosto 2010 (doc. 177), dalla perizia pluridisciplinare delle dott.sse D._______e F._______, medici del SAM, del 14 luglio 2011 (doc. 205), e dal rapporto finale del dott. L._______, medico dell'UAIE, del 19 agosto 2011 (doc. 207), emerge la diagnosi, con influenza sulla capacità lavorativa, di sindromi lombospondilogena cronica (pregressa ernia discale L5-S1 ora del tutto regredita, modiche alterazioni degenerative multisegmentali senza neuro compressione, modici esiti da distrofia di crescita di Scheuermann) e cervicospondilogena cronica (modiche alterazioni degenerative in C5/6 e C6/7 senza neurocompressione), come pure la diagnosi, senza influenza sulla capacità lavorativa, d'ipoacusia bilaterale quasi simmetrica di media entità, di tinnito leggero, di BPCO Gold 1 con importante pregresso abuso tabagico (cinquanta pacchetti di sigarette all'anno), attualmente stabile sotto terapia con Spiriva, di pterigio bilaterale, di probabile diabete mellito di tipo II, di sospetta angina pectoris anamnestica sotto sforzo, con test da sforzo negativo per ischemia cardiaca, di lieve valgismo dell'alluce sinistro, di microcalcificazioni con dilatazione calicopielica sinistra in microliatiasi del rene destro, d'ipertrofia epatica con diffusa steatosi, di turbe dispeptiche con esofagite da riflusso, di esiti da colecistectomia, d'ipertensione arteriosa in trattamento farmacologico, d'ipercolesterolemia non trattata e d'obesità. Questa diagnosi è univoca agli atti e non è contestata dal ricorrente, per cui questo Tribunale può adottarla senza riserve.</w:t>
      </w:r>
    </w:p>
    <w:p>
      <w:r>
        <w:rPr>
          <w:b/>
        </w:rPr>
        <w:t>E. 10.1</w:t>
      </w:r>
    </w:p>
    <w:p>
      <w:r>
        <w:t>Per quanto attiene all'incidenza sulla capacità lavorativa delle affezioni diagnosticate, la dott.ssa B._______ ha precisato, nella sua perizia E 213, che il ricorrente è in grado di svolgere regolarmente il suo ultimo lavoro nonché attività leggere, controindicati essendo l'umidità, il freddo, il calore, i rumori, il fumo, i gas, i vapori, il lavoro notturno e a turni, frequenti flessioni, il trasporto e il sollevamento di pesi, il rischio di cadute, come pure la salita di piani inclinati, scale e scale a pioli, fissando un grado d'invalidità, secondo criteri propri del diritto italiano, del 55% (non invalido).</w:t>
      </w:r>
    </w:p>
    <w:p>
      <w:r>
        <w:rPr>
          <w:b/>
        </w:rPr>
        <w:t>E. 10.2</w:t>
      </w:r>
    </w:p>
    <w:p>
      <w:r>
        <w:t>Gli specialisti del SAM hanno valutato, a partire dal 14 luglio 2011, data della loro perizia, e per cause esclusivamente reumatologiche, una capacità lavorativa globale del 60% come muratore e dell'80% sia come elettrotecnico, sia in occupazioni leggere di principio sedentarie, che permettano di alternare la posizione seduta e in piedi, di eseguire una breve pausa ogni ora e siano conformi alle regole ergonomiche della schiena. In attività pesanti o mediamente pesanti, nel rispetto delle regole ergonomiche della schiena, e per le mansioni domestiche, gli stessi periti hanno stabilito una capacità lavorativa completa con un rendimento ridotto al massimo del 40, rispettivamente del 20%. Riguardo all'evoluzione dello stato di salute del ricorrente, il dott. F._______, reumatologo, ha sottolineato, nel suo rapporto del 16 marzo 2011 (doc. 199), che la grossa ernia discale L5/S1, principale causa dell'incapacità lavorativa, è stata documentata da ultimo il 28 ottobre 1993, dopodiché è regredita fino a scomparire, e che ciò testimonia di un graduale miglioramento, il cui andamento non può però essere stabilito con precisione, l'inizio della nuova capacità lavorativa del 60% come muratore e dell'80% come elettrotecnico, potendo essere fissato, al più tardi, a decorrere dalla data della perizia del SAM. Quanto alle valutazioni dei dottori G._______, Mari, H._______ e I._______, dai loro rispettivi punti di vista otorinolaringoiatrico, psichiatrico, pneumologico e neurologico, esse non hanno evidenziato patologie che riducano la capacità lavorativa del ricorrente. Peraltro, sia nell'ambito della procedura di revisione, il 19 agosto e 14 novembre 2011 (doc. 207 e 219), sia nel quadro della presente procedura, il 31 maggio, il 7 settembre e il 23 novembre 2012 (doc. 227, 229 e 231), il dott. L._______ ha confermato pienamente le conclusioni del rapporto peritale del SAM, rilevando in sostanza che le discopatie diagnosticate, siano esse chiamate protrusioni, ernie o "bulging", non inducono attualmente alcun deficit neurologico e, pertanto, non hanno ripercussioni funzionali, contrariamente a quanto preteso dal ricorrente in particolare sulla base del certificato del dott. Russo.</w:t>
      </w:r>
    </w:p>
    <w:p>
      <w:r>
        <w:rPr>
          <w:b/>
        </w:rPr>
        <w:t>E. 10.3</w:t>
      </w:r>
    </w:p>
    <w:p>
      <w:r>
        <w:t>Visto quanto precede, questo Tribunale non può che constatare un miglioramento dello stato di salute del ricorrente dal 14 luglio 2011, data della perizia del SAM, con una capacità lavorativa globale del 60% come muratore e dell'80% sia come elettrotecnico, sia in occupazioni leggere di principio sedentarie, secondo l'esigibilità descritta dagli specialisti del SAM, nonché una capacità lavorativa completa con un rendimento ridotto al massimo del 40% in attività pesanti o medio pesanti, e del 20% per le mansioni domestiche.</w:t>
      </w:r>
    </w:p>
    <w:p>
      <w:r>
        <w:rPr>
          <w:b/>
        </w:rPr>
        <w:t>E. 11</w:t>
      </w:r>
    </w:p>
    <w:p>
      <w:r>
        <w:t>Come già esposto nel consid. 4.4,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l'UAIE ha realizzato il calcolo del grado d'invalidità il 12 settembre 2011 (doc. 208), tenendo conto di un salario da valido come muratore capomastro nel 2008 di Fr. 6'236.54 (valore considerato dall'UAI-BE nel 1994, indicizzato; doc. 73), e, secondo i dati dell'UFS relativi ad attività leggere (commercio all'ingrosso e al dettaglio, servizi forniti ad imprese), adattati a 41.7 ore lavorative settimanali, di un salario medio da invalido di Fr. 4'907.05, all'80% e ridotto del 15% per le circostanze personali del ricorrente, ossia Fr. 3'336.79, dimodoché ha ottenuto una perdita di guadagno del 46.50%, corrispondente ad una grado d'invalidità pari al 47%, ciò che dà diritto ad un quarto di rendita d'invalidità. Questo calcolo, che il ricorrente non ha contestato, è stato eseguito correttamente dall'UAIE e deve quindi essere approvato, anche se è necessario puntualizzare che i salari da valido e da invalido avrebbero dovuto essere indicizzati al 2012, anno in cui la riduzione della rendita diventa effettiva, ciò che comunque non influisce sul risultato finale del grado d'invalidità, che rimane inferiore al 50%.</w:t>
      </w:r>
    </w:p>
    <w:p>
      <w:r>
        <w:rPr>
          <w:b/>
        </w:rPr>
        <w:t>E. 12.1</w:t>
      </w:r>
    </w:p>
    <w:p>
      <w:r>
        <w:t>Secondo la giurisprudenza costante del Tribunale federale ed un principio generale del diritto delle assicurazioni sociali, ogni ricorrente ha l'obbligo di ridurre il danno conseguente alla sua invalidità (DTF 130 V 97 consid. 3.2 e relativi riferimenti).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 Questa giurisprudenza conferma il principio che l'integrazione ha priorità sulla rendita, la cui assegnazione entra in linea di conto solo qualora non siano attuabili provvedimenti di integrazione. Un miglioramento della capacità di lavoro medicalmente attestato permette quindi di principio di ritenere che, nonostante la rendita sia stata concessa per un lungo periodo, la capacità di guadagno sia migliorata e di procedere ad un nuovo paragone dei redditi. L'esame delle condizioni per un eventuale diritto a misure d'integrazione si effettua secondo gli stessi principi sia nell'ambito di una revisione della rendita, sia nell'ambito di una domanda di rendita d'invalidità. Se la rendita è stata attribuita per un lungo periodo, la giurisprudenza considera tuttavia che non è opportuno sopprimerla o ridurla, malgrado l'esistenza di una capacità lavorativa medicalmente documentata, prima che le possibilità teoriche di lavoro non siano state confermate con l'aiuto di misure mediche d'integrazione e/o di provvedimenti d'integrazione professionale (in particolare, sentenza del Tribunale federale 9C_163/2009 del 10 settembre 2010). Il Tribunale federale ha tuttavia ristretto l'applicazione di questa prassi ai casi in cui un assicurato ha beneficiato di una rendita per più di 15 anni o ha superato i 55 anni: l'amministrazione che intende procedere ad una revisione del diritto alla rendita deve esaminare preliminarmente l'opportunità di provvedimenti d'integrazione professionale (sentenza del Tribunale federale 9C_228/2010 del 26 aprile 2011).</w:t>
      </w:r>
    </w:p>
    <w:p>
      <w:r>
        <w:rPr>
          <w:b/>
        </w:rPr>
        <w:t>E. 12.2</w:t>
      </w:r>
    </w:p>
    <w:p>
      <w:r>
        <w:t>In concreto, il ricorrente ha percepito la mezza rendita d'invalidità per ventuno anni fino al momento della riduzione ad un quarto a decorrere dal 1° febbraio 2012. Occorre pertanto esaminare se abbia diritto o meno a dei provvedimenti d'integrazione. Ora, viste le attività sostitutive proposte dall'UAIE conformemente all'esigibilità formulata dai periti del SAM e confermata dal dott. L._______, e le solide conoscenze professionali di cui dispone il ricorrente, sia come muratore capomastro, sia come elettrotecnico, è lecito concludere che lo stesso non ha bisogno di alcuna misura d'integrazione particolare al fine di mettere in valore la sua capacità lavorativa residua.</w:t>
      </w:r>
    </w:p>
    <w:p>
      <w:r>
        <w:rPr>
          <w:b/>
        </w:rPr>
        <w:t>E. 13</w:t>
      </w:r>
    </w:p>
    <w:p>
      <w:r>
        <w:t>In conclusione, il ricorso deve essere respinto e la decisione impugnata confermata.</w:t>
      </w:r>
    </w:p>
    <w:p>
      <w:r>
        <w:rPr>
          <w:b/>
        </w:rPr>
        <w:t>E. 14</w:t>
      </w:r>
    </w:p>
    <w:p>
      <w:r>
        <w:t>Secondo l'art. 63 cpv. 1 PA, le spese processuali sono di regola messe a carico della parte soccombente. In concreto, visto l'esito della procedura, le spese processuali di Fr. 400.- sono poste a carico del ricorrente e compensate con l'anticipo dello stesso ammontare, versato il 23 ottobre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