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C-2002/2015 vom 15. Februar 2016</w:t>
      </w:r>
    </w:p>
    <w:p>
      <w:r>
        <w:t>Bundesverwaltungsgericht, 2016-02-15, DE</w:t>
      </w:r>
    </w:p>
    <w:p>
      <w:r>
        <w:rPr>
          <w:b/>
        </w:rPr>
        <w:t xml:space="preserve">Quelle: </w:t>
      </w:r>
      <w:r>
        <w:t>https://mcp.opencaselaw.ch/entscheid/bvger_C-2002_2015</w:t>
      </w:r>
    </w:p>
    <w:p>
      <w:r>
        <w:t>FR: TAF C-2002/2015 du 15 février 2016</w:t>
      </w:r>
    </w:p>
    <w:p>
      <w:r>
        <w:t>IT: TAF C-2002/2015 del 15 febbraio 2016</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ist eine Vorinstanz im Sinne von Art. 33 Bst. d VGG (vgl. Art. 85bis Abs. 1 Bst. b des Bundesgesetzes vom 20. Dezember 1946 über die Alters- und Hinterlassenenversicherung [AHVG, SR 831.10]). Der Einspracheentscheid der Schweizerischen Ausgleichskasse vom 23. Februar 2015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23. Februar 2015 und wurde dem Beschwerdeführer postalisch an seine Adresse in Serbien zugestellt. Das Zustelldatum ist nicht dokumentiert. Die Beschwerdeschrift wurde gemäss dem serbischen Poststempel am 18. März 2015 aufgegeben und ging in der Folge am 23. März 2015 bei der Vorinstanz ein, die sie mit Begleitschreiben vom 25. März 2015 der Zuständigkeit halber umgehend an das Bundesverwaltungsgericht weiterleitete, wo sie am 30. März 2015 eintraf (BVGer act. 1). Die Einreichung der Beschwerde bei der nicht zuständigen Vorinstanz schadet dem Beschwerdeführer gemäss Art. 60 Abs. 2 ATSG in Verbindung mit Art. 39 Abs. 2 ATSG nicht (vgl. auch Art. 21 Abs. 2 VwVG). Die Beschwerde wurde somit fristgerecht innerhalb von dreissig Tagen nach Eröffnung des angefochtenen Einspracheentscheids eingereicht (Art. 60 ATSG).</w:t>
      </w:r>
    </w:p>
    <w:p>
      <w:r>
        <w:rPr>
          <w:b/>
        </w:rPr>
        <w:t>E. 1.4</w:t>
      </w:r>
    </w:p>
    <w:p>
      <w:r>
        <w:t>Die Beschwerde enthält zumindest sinngemäss einen Antrag und eine Begründung und wurde vom Beschwerdeführer unterschrieben. Unter Mitberücksichtigung seiner Eingaben vom 20. April 2015 (BVGer act. 3) und vom 19. Juni 2015 (Eingangsdatum; BVGer act. 8) ist von einem rechtsgenüglichen Beschwerdewillen auszugehen (vgl. BGE 117 Ia 126 E. 5c und d). Eine Kopie des angefochtenen Einspracheentscheids ist aktenkundig (BVGer act. 1). Speziell bei Eingaben, die von juristischen Laien formuliert werden, dürfen in sprachlicher und formeller Hinsicht keine allzu strengen Anforderungen gestellt werden (Moser/Beusch/Kneubühler, Prozessieren vor dem Bundesverwaltungsgericht, 2. Aufl. 2013, S. 120 Rz. 2.211, S. 123 Rz. 2.219). Die Beschwerde wurde somit formgerecht eingereicht (Art. 52 Abs. 1 VwVG). Auf die Beschwerde ist einzutreten.</w:t>
      </w:r>
    </w:p>
    <w:p>
      <w:r>
        <w:rPr>
          <w:b/>
        </w:rPr>
        <w:t>E. 2</w:t>
      </w:r>
    </w:p>
    <w:p>
      <w:r>
        <w:t>Im Folgenden sind die im vorliegenden Beschwerdeverfahren anwendbaren Normen und Rechtsgrundsätze zur Prüfung der angefochtenen Abfindung der Alters- und Hinterlassenenversicherung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Der Beschwerdeführer ist ebenso wie seine bei der AHV nicht versicherte Ehefrau in seiner serbischen Heimat wohnhaft.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wie Kroatien, Slowenien und Mazedonien neue Abkommen über die soziale Sicherheit abgeschlossen. Das mit der Republik Serbien neu ausgehandelte und am 11. Oktober 2010 in Belgrad unterzeichnete Abkommen über soziale Sicherheit ist noch nicht in Kraft getreten. Für Staatsangehörige von Serbien finden daher weiterhin das Sozialversicherungsabkommen und die Verwaltungsvereinbarung vom 5. Juli 1963 betreffend die Durchführung des Sozialversicherungsabkommens (SR 0.831.109.818.12; nachfolgend: Verwaltungsvereinbarung) Anwendung. Nach Art. 2 des Sozialversicherungsabkommens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w:t>
      </w:r>
    </w:p>
    <w:p>
      <w:r>
        <w:rPr>
          <w:b/>
        </w:rPr>
        <w:t>E. 2.4</w:t>
      </w:r>
    </w:p>
    <w:p>
      <w:r>
        <w:t>Hat ein jugoslawischer Staatsangehöriger, der sich nicht in der Schweiz aufhält, Anspruch auf eine ordentliche Teilrente der AHV, die höchstens ein Zehntel der entsprechenden ordentlichen Vollrente beträgt, so wird ihm an Stelle der Teilrente eine Abfindung in der Höhe des Barwertes der geschuldeten Rente gewährt. Nach Auszahlung der Abfindung durch die schweizerische Versicherung können weder der Berechtigte noch seine Hinterlassenen gegenüber dieser Versicherung irgendwelche Ansprüche aus den durch die Abfindung abgegoltenen Beiträgen mehr geltend machen (Art. 7a des Sozialversicherungsabkommens; vgl. auch Ziffer 8 des Schlussprotokolls). Im Übrigen sind im Sozialversicherungsabkommen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Verordnung vom 31. Oktober 1947 über die Alters- und Hinterlassenenversicherung (AHVV, SR 831.101). Es finden grundsätzlich diejenigen Rechtsvorschriften Anwendung, die beim Eintritt des Versicherungsereignisses per 1. November 2014 massgeblich gewesen sind.</w:t>
      </w:r>
    </w:p>
    <w:p>
      <w:r>
        <w:rPr>
          <w:b/>
        </w:rPr>
        <w:t>E. 2.5</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 Das ordentliche Rentenalter für Männer liegt bei 65 Altersjahren (Art. 21 Abs. 1 Bst. a AHVG). Die Altersrente kann um ein oder zwei Jahre vorbezogen werden, wobei dann ein Kürzungssatz von 6,8 % pro Vorbezugsjahr zur Anwendung gelangt (Art. 40 AHVG in Verbindung mit Art. 56 AHVV). Bei den Monatsrenten werden Beträge von 50 und mehr Rappen auf den nächsten ganzen Franken aufgerundet und Beträge von weniger als 50 Rappen auf den nächsten ganzen Franken abgerundet (Art. 53 Abs. 2 AHVV).</w:t>
      </w:r>
    </w:p>
    <w:p>
      <w:r>
        <w:rPr>
          <w:b/>
        </w:rPr>
        <w:t>E. 2.6</w:t>
      </w:r>
    </w:p>
    <w:p>
      <w:r>
        <w:t>Der Bundesrat kann nach Art. 72 Abs. 1 AHVG das Bundesamt für Sozialversicherungen (nachfolgend: BSV) beauftragen, den mit der Durchführung der Versicherung betrauten Stellen Weisungen für den einheitlichen Vollzug zu erteilen. Ferner kann der Bundesrat das BSV ermächtigen, verbindliche Tabellen zur Berechnung von Beiträgen und Leistungen aufzustellen. In Wahrnehmung seiner Kompetenzen aus Art. 51bis Abs. 1 AHVV, Art. 52 Abs. 1bis AHVV und Art. 53 Abs. 1 AHVV hat das BSV die massgeblichen Aufwertungsfaktoren festgelegt und verbindliche Rententabellen aufgestellt. Weiter hat es die Barwerttabellen herausgegeben, mittels derer die Rentenabfindungen zu ermitteln sind, die in den Sozialversicherungsabkommen vorgesehen sind. Bei den Barwerttabellen, den Rententabellen und den Aufwertungsfaktoren, die auf der Webseite http://www. bsv.admin.ch abgerufen werden können, handelt es sich um Konkretisierung der gesetzlichen und verordnungsmässigen Bestimmungen. Sie haben Weisungscharakter und sollen als solche eine einheitliche und rechtsgleiche Rechtsanwendung sowie die verwaltungsmässige Praktikabilität gewährleisten. Verwaltungsweisungen sind auch für das Sozialversicherungsgericht nicht unbeachtlich. Soweit sie eine dem Einzelfall angepasste und gerecht werdende Auslegung der anwendbaren gesetzlichen Bestimmungen zulassen, sind sie auch im Beschwerdeverfahren zu berücksichtigen. Das Sozialversicherungsgericht weicht ohne einen triftigen Grund nicht von einer überzeugenden Verwaltungsweisung ab (Urteil des Eidgenössischen Versicherungsgerichts [EVG; seit 1. Januar 2007: Sozialrechtliche Abteilungen des Bundesgerichts] H 49/05 vom 1. Dezember 2005 E. 2.2 mit Hinweis auf BGE 130 V 172 E. 4.3.1 und weiteren Hinweisen).</w:t>
      </w:r>
    </w:p>
    <w:p>
      <w:r>
        <w:rPr>
          <w:b/>
        </w:rPr>
        <w:t>E. 3</w:t>
      </w:r>
    </w:p>
    <w:p>
      <w:r>
        <w:t>Vorfrageweise ist in einem ersten Schritt zu prüfen, ob dem Beschwerdeführer eine Altersrente, eine Abfindung oder ein Wahlrecht zwischen diesen Leistungen zusteht.</w:t>
      </w:r>
    </w:p>
    <w:p>
      <w:r>
        <w:rPr>
          <w:b/>
        </w:rPr>
        <w:t>E. 3.1</w:t>
      </w:r>
    </w:p>
    <w:p>
      <w:r>
        <w:t>Der Beschwerdeführer war von August bis November 1989, von Mai bis Dezember 1990 und von April bis Dezember 1991 als Arbeitnehmer bei der AHV versichert (act. 11, Seite 2). Während dieser Versicherungszeit von 21 Monaten oder einem Jahr und neun Monaten wurde ein Erwerbseinkommen von insgesamt Fr. 67'266.- abgerechnet (act. 10, Seite 2; act. 20). Diese Eckdaten werden nicht substantiell bestritten (vgl. act. 8). Der Beschwerdeführer macht eine um ein Jahr vorbezogene Altersrente bzw. Abfindung per 1. November 2014 geltend (act. 1; act. 4, Seite 2).</w:t>
      </w:r>
    </w:p>
    <w:p>
      <w:r>
        <w:rPr>
          <w:b/>
        </w:rPr>
        <w:t>E. 3.2</w:t>
      </w:r>
    </w:p>
    <w:p>
      <w:r>
        <w:t>Der theoretische Rentenanspruch des Beschwerdeführers, der lediglich ein volles Beitragsjahr aufweist, bestimmt sich nach dem Skalenwähler für Männer bei Vorbezug aufgrund der Rentenskala 1 (vgl. Rententabellen 2013, Seite 12, 13). Erziehungs- oder Betreuungsgutschriften sind nach der Aktenlage nicht zu berücksichtigen. Eine Aufwertung nach Art. 30 Abs. 1 AHVG ist nicht vorzunehmen, da erstmals im Jahr 1989 ein Erwerbseinkommen erfasst wurde (vgl. Aufwertungsfaktoren 2014). Das durchschnittliche Jahreseinkommen beträgt Fr. 38'438.- (Fr. 67'266.- : 21 Monate x 12 Monate). Die monatliche Teilrente beläuft sich nach der Rentenskala 1 bei einem massgeblichen Jahreseinkommen bis Fr. 39'312.- auf Fr. 39.- (vgl. Rententabellen 2013, Seite 104). Aufgrund der Kürzung wegen des Vorbezugs um ein Jahr von 6,8 % reduziert sie sich auf Fr. 36.-.</w:t>
      </w:r>
    </w:p>
    <w:p>
      <w:r>
        <w:rPr>
          <w:b/>
        </w:rPr>
        <w:t>E. 3.3</w:t>
      </w:r>
    </w:p>
    <w:p>
      <w:r>
        <w:t>Im Vergleich dazu liegt die entsprechende monatliche Vollrente (bei einem massgeblichen durchschnittlichen Jahreseinkommen bis Fr. 39'312.-) gemäss der Rentenskala 44 mit Fr. 1'718.- mehr als das Zehnfache über diesem Betrag (vgl. Rententabellen 2013, Seite 18). Demnach hat die Vorinstanz dem Beschwerdeführer in Anwendung von Art. 7a des Sozialversicherungsabkommens zu Recht eine einmalige Abfindung zugesprochen, womit weder er selber noch seine Hinterlassenen gegenüber der AHV künftig irgendwelche Ansprüche aus den abgegoltenen Beiträgen geltend machen können.</w:t>
      </w:r>
    </w:p>
    <w:p>
      <w:r>
        <w:rPr>
          <w:b/>
        </w:rPr>
        <w:t>E. 3.4</w:t>
      </w:r>
    </w:p>
    <w:p>
      <w:r>
        <w:t>Zur Verdeutlichung ist anzumerken, dass es sich bei der ordentlichen Vollrente von Fr. 1'718.- lediglich um eine Vergleichsgrösse handelt, die im angefochtenen Einspracheentscheid eruiert werden musste, damit die Vorinstanz bestimmen konnte, ob dem Beschwerdeführer gemäss Art. 7a des Sozialversicherungsabkommens eine monatliche Altersrente, ein Abfindung oder ein Wahlrecht zwischen diesen Leistungen zusteht (act. 14, Seite 3). Der Betrag von Fr. 1'718.- stellt insofern bloss eine fiktive Grösse dar. Da der Beschwerdeführer nur während einem Jahr und neun Monate Beiträge in die AHV einbezahlt hat, er mithin nur eine sehr lückenhafte Beitragsdauer aufweist, bestimmt sich sein theoretischer Rentenanspruch nicht aufgrund der Rentenskala 44.</w:t>
      </w:r>
    </w:p>
    <w:p>
      <w:r>
        <w:rPr>
          <w:b/>
        </w:rPr>
        <w:t>E. 4</w:t>
      </w:r>
    </w:p>
    <w:p>
      <w:r>
        <w:t>Streitig und zu prüfen ist in einem nächsten Schritt die Höhe der verfügten einmaligen Abfindung von Fr. 7'255.-. Der Beschwerdeführer rügt lediglich sinngemäss, der im Einspracheentscheid angeführte Betrag für eine ordentliche Vollrente von Fr. 1'718.- sei falsch. Er bittet um Prüfung einer zusätzlichen Auszahlung (BVGer act. 1).</w:t>
      </w:r>
    </w:p>
    <w:p>
      <w:r>
        <w:rPr>
          <w:b/>
        </w:rPr>
        <w:t>E. 4.1</w:t>
      </w:r>
    </w:p>
    <w:p>
      <w:r>
        <w:t>Der Betrag der Abfindung berechnet sich im Fall des Beschwerdeführers, dessen Ehefrau in der AHV nicht versichert ist, gemäss den Barwerttabellen des Bundesamts für Sozialversicherungen anhand der folgenden Formel (vgl. Barwerttabellen, Seite 20): Kapitalwert = [B1(x) x RH1 + (B2(y) - B3(x,y)) x 0.8 x RH1] x 12 RH1 steht für die Rentenhöhe der aktuellen Rente im massgebenden Zeitpunkt, welche nach dem Gesagten Fr. 36.- beträgt (vgl. Barwerttabellen, Seite 7, 8). B1(x) steht für den Barwert einer lebenslänglichen Rente für Männer. B2(y) steht für den Barwert einer lebenslänglichen Rente für Frauen. B3(x,y) steht für den Barwert einer lebenslänglichen Verbindungsrente für einen Mann im Alter x und einer Frau im Alter y. Die Werte für die Faktoren B1(x), B2(y) und B3(x,y) ergeben sich aus den Barwerttabellen.</w:t>
      </w:r>
    </w:p>
    <w:p>
      <w:r>
        <w:rPr>
          <w:b/>
        </w:rPr>
        <w:t>E. 4.2</w:t>
      </w:r>
    </w:p>
    <w:p>
      <w:r>
        <w:t>Die Vorinstanz berechnete die einmalige Abfindung wie folgt (act. 14, Seite 3; BVGer act. 12): [13.708 x Fr. 36.-] + [(15.769 - 11.914) x 0.8 x Fr. 36.-] x 12 = Fr. 7'255.-</w:t>
      </w:r>
    </w:p>
    <w:p>
      <w:r>
        <w:rPr>
          <w:b/>
        </w:rPr>
        <w:t>E. 4.3</w:t>
      </w:r>
    </w:p>
    <w:p>
      <w:r>
        <w:t>Der Beschwerdeführer wurde (...) 1950 geboren und hat seine Abfindung im Alter von 64 Jahren per 1. November 2014 bezogen. Der bisherige Wert für B1(x) von Fr. 13.708 ist folglich korrekt (vgl. Barwerttabellen, Seite 60). Die (...) 1949 geborene Ehefrau des Beschwerdeführers war bei Eintritt des Versicherungsereignisses per 1. November 2014 noch 65 Jahre alt. 66 Jahre alt wurde sie erst am (...) 2015. Folglich sind diejenigen Faktoren auszuwählen, die ihrem damaligen Alter von 65 Jahren entsprechen. Dadurch ergibt sich eine Korrektur an der vorinstanzlichen Berechnung, in der fälschlicherweise die Werte für Frauen im Alter von 66 Jahren herangezogen wurden. Werden für B2(y) mit 16.212 und für B3(x,y) mit 12.077 (analog wie beim Berechnungsbeispiel auf der Seite 20) die korrekten Werte eingesetzt, erhöht sich die einmalige Abfindung der AHV geringfügig von Fr. 7'255.- auf Fr. 7'351.- (vgl. Barwerttabellen, Seite 60, 62): [13.708 x Fr 36.-] + [(16.212 - 12.077) x 0.8 x Fr. 36.-] x 12 = Fr. 7'351.-</w:t>
      </w:r>
    </w:p>
    <w:p>
      <w:r>
        <w:rPr>
          <w:b/>
        </w:rPr>
        <w:t>E. 4.4</w:t>
      </w:r>
    </w:p>
    <w:p>
      <w:r>
        <w:t>Aus der korrigierten Berechnung resultiert demnach eine Differenz von Fr. 96.- zu Gunsten des Beschwerdeführers (Fr. 7'351.- - Fr. 7'255.-).</w:t>
      </w:r>
    </w:p>
    <w:p>
      <w:r>
        <w:rPr>
          <w:b/>
        </w:rPr>
        <w:t>E. 5</w:t>
      </w:r>
    </w:p>
    <w:p>
      <w:r>
        <w:t>Zusammenfassend ist somit festzuhalten, dass der Beschwerdeführer im Zusammenhang mit der einmaligen Abfindung der AHV Anspruch auf eine Nachzahlung von Fr. 96.- hat. Die Beschwerde erweist sich insofern als begründet, weshalb sie gutzuheissen ist. Weder der Beschwerdeführer selber noch seine Hinterlassenen können künftig gegenüber der AHV irgendwelche Ansprüche aus den abgegoltenen Beiträgen geltend machen. Aufgrund der Anordnung in der Verfügung vom 13. Mai 2015 (BVGer act. 6) erfolgt die Eröffnung des Dispositivs des vorliegenden Urteils durch Publikation im Bundesblatt.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notwendigen,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6.3</w:t>
      </w:r>
    </w:p>
    <w:p>
      <w:r>
        <w:t>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