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C-2001/2012 vom 16. September 2014</w:t>
      </w:r>
    </w:p>
    <w:p>
      <w:r>
        <w:t>Bundesverwaltungsgericht, 2014-09-16, FR</w:t>
      </w:r>
    </w:p>
    <w:p>
      <w:r>
        <w:rPr>
          <w:b/>
        </w:rPr>
        <w:t xml:space="preserve">Quelle: </w:t>
      </w:r>
      <w:r>
        <w:t>https://mcp.opencaselaw.ch/entscheid/bvger_C-2001_2012</w:t>
      </w:r>
    </w:p>
    <w:p>
      <w:r>
        <w:t>FR: TAF C-2001/2012 du 16 septembre 2014</w:t>
      </w:r>
    </w:p>
    <w:p>
      <w:r>
        <w:t>IT: TAF C-2001/2012 del 16 settembre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rendues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(art. 50 et 52 LEtr).</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(André Moser et al., Prozessieren vor dem Bundesverwaltungsgericht, 2ème édition, Bâle 2013, ch. 3.197). Aussi peut-elle admettre ou rejeter le pourvoi pour d'autres motifs que ceux invoqués. Dans son arrêt, elle prend en considération l'état de fait régnant au moment où elle statue (cf. ATAF 2013/33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 RS 142.201]). Au plan formel, l'ODM refuse d'approuver l'octroi de l'autorisation initiale et le renouvellement, notamment lorsque les conditions d'admission ne sont plus remplies (cf. art. 86 al. 2 let. a et c OASA).</w:t>
      </w:r>
    </w:p>
    <w:p>
      <w:r>
        <w:rPr>
          <w:b/>
        </w:rPr>
        <w:t>E. 3.2</w:t>
      </w:r>
    </w:p>
    <w:p>
      <w:r>
        <w:t>En l'espèce, la compétence décisionnelle appartient à la Confédération en vertu des règles de procédure précitées (cf. également les chiffres 1.3.1.1 et 1.3.1.4 let. e des directives et commentaires de l'ODM, publiés sur le site internet de l'ODM www.bfm.admin.ch &gt; Documentation &gt; Bases légales &gt; Directives et circulaires &gt; I. Domaines des étrangers, version du 4 juillet 2014 [site internet consulté en septembre 2014]. Il s'ensuit que ni le Tribunal, ni l'ODM ne sont liés par la décision du SPOP-VD du 18 juillet 2011 d'accorder une autorisation de séjour à l'intéressée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Dans un premier temps, il convient de préciser que la recourante ne peut tirer aucun droit de l'ALCP en raison de son mariage avec B._______, ressortissant français, puisque leur divorce a été prononcé le 24 mars 2011 (cf. ci-dessus, let. F) et est entré en force le 10 mai 2011.</w:t>
      </w:r>
    </w:p>
    <w:p>
      <w:r>
        <w:rPr>
          <w:b/>
        </w:rPr>
        <w:t>E. 6</w:t>
      </w:r>
    </w:p>
    <w:p>
      <w:r>
        <w:t>A._______ disposant de la garde de sa fille, prénommée C._______, âgée de sept ans, ressortissante de la République française, il convient en premier lieu d'examiner sa situation sous l'angle de l'ALCP.</w:t>
      </w:r>
    </w:p>
    <w:p>
      <w:r>
        <w:rPr>
          <w:b/>
        </w:rPr>
        <w:t>E. 6.1</w:t>
      </w:r>
    </w:p>
    <w:p>
      <w:r>
        <w:t>Se basant sur la jurisprudence de la CJCE, le Tribunal fédéral a reconnu qu'une personne ayant la nationalité d'un Etat membre de l'Union européenne pouvait se prévaloir du droit de séjour sans activité lucrative conféré par l'art. 24 Annexe I ALCP, à condition qu'elle dispose de moyens d'existence suffisants, peu importe leur provenance (cf. ATF 135 II 265 consid. 3.3 ; cf. également arrêt du Tribunal administratif fédéral C 4971/2011 du 5 juillet 2013 consid. 6.2). S'agissant d'un enfant de nationalité européenne, ses ressources peuvent notamment être fournies par le parent qui en a la garde. A cet égard, la CJCE a considéré que le droit de l'Union européenne permettait au parent qui a effectivement la garde d'un ressortissant européen mineur en bas âge et qui dispose de ressources suffisantes, de séjourner avec son enfant sur le territoire de l'Etat membre d'accueil (cf. arrêt du 19 octobre 2004 Zhu et Chen, affaire C-200/02, Recueil de jurisprudence [Rec.] p. I-9951ss), jurisprudence reprise par le Tribunal fédéral (cf. ATF 139 II 393 consid. 4.2.5 ; cf. également les arrêts du Tribunal fédéral 2C_606/2013 du 4 avril 2014 consid. 3.2, 2C_253/2012 du 11 janvier 2013 consid. 4, 2C_190/2011 du 23 novembre 2011 consid. 4.2 et 2C_574/2010 du 15 novembre 2010 consid. 2.2 ; cf. en outre Gaëtan Blaser, in : C. Amarelle / M. S. Nguyen [éd.], Code annoté de droit des migrations, Vol. III : Accord sur la libre circulation des personnes [ALCP], Berne 2014, nos 20 ss ad art. 6 ALCP). Dans l'argumentation de son arrêt, la CJCE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était clair que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(arrêt Zhu et Chen précité, point 45).</w:t>
      </w:r>
    </w:p>
    <w:p>
      <w:r>
        <w:rPr>
          <w:b/>
        </w:rPr>
        <w:t>E. 6.2</w:t>
      </w:r>
    </w:p>
    <w:p>
      <w:r>
        <w:t>En l'espèce, l'enfant C._______ disposant de la citoyenneté d'un Etat membre de l'Union européenne, ses ressources peuvent lui être fournies par le parent qui en a la garde, à savoir par A._______. Il convient par conséquent d'examiner si la prénommée dispose de moyens d'existence suffisants.</w:t>
      </w:r>
    </w:p>
    <w:p>
      <w:r>
        <w:rPr>
          <w:b/>
        </w:rPr>
        <w:t>E. 6.2.1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 RS 142.203), ces moyens sont considérés comme suffisants s'ils dépassent les prestations d'assistance qui seraient alloués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requérante, que cette dernière génère elle-même ses moyens financiers ou que ceux-ci lui soient procurés par un tiers (cf. ATF 135 II précité, ibid.).</w:t>
      </w:r>
    </w:p>
    <w:p>
      <w:r>
        <w:rPr>
          <w:b/>
        </w:rPr>
        <w:t>E. 6.2.2</w:t>
      </w:r>
    </w:p>
    <w:p>
      <w:r>
        <w:t>En l'espèce, à l'analyse du dossier, il ressort que A._______ est au bénéfice, depuis le 1er mai 2010, d'un contrat de travail d'une durée indéterminée conclu avec les Etablissements hospitaliers du Nord vaudois, employeur pour lequel elle travaille, depuis le 1er août 2010, à temps partiel (80 %), et qui lui verse, en 2014, un revenu mensuel moyen net de 2'946.25 francs, part au treizième salaire comprise (cf. bulletins de salaire des mois de janvier, février et mars 2014). A cela s'ajoutent l'allocation enfant, de 230 francs, et la pension, d'un montant de 700 francs, due par le père de l'enfant C._______, B._______, et acquittée par le Service de prévoyance et d'aide sociales du canton de Vaud (Bureau de recouvrement et d'avances de pensions alimentaires ; cf. lettre du 28 avril 2014). Au total, la recourante dispose ainsi de revenus s'élevant à 3'876.25 francs par mois. Du côté des charges, A._______ s'acquitte d'un loyer de 1'300 francs par mois et de primes d'assurance-maladie pour un montant de 101.95 francs (89.45 francs pour elle-même et 12.50 francs pour l'enfant C._______ ; cf. certificats d'assurance du 18 octobre 2013 concernant C._______ [Groupe Mutuel] et du 9 octobre 2013 concernant A._______ [KPT Caisse-maladie SA]), déduction faite des subsides cantonaux octroyés à la prénommée et à sa fille (cf. sur ce dernier point, la décision rendue par l'Office vaudois de l'assurance-maladie le 11 novembre 2013). A cela s'ajoutent les frais de garde de l'enfant C._______, à hauteur de 450 francs (cf. courrier de la recourante du 5 mai 2014, p. 2), portant ainsi le total des charges à 1'851.95 francs. Au final, en prenant de surcroît en considération le montant forfaitaire de 1'509 francs fixé par les normes CSIAS, il y lieu de considérer que la recourante dispose d'un budget mensuel excédentaire de 515.30 francs (3'876.25 francs - 1'851.95 francs - 1'509 francs).</w:t>
      </w:r>
    </w:p>
    <w:p>
      <w:r>
        <w:rPr>
          <w:b/>
        </w:rPr>
        <w:t>E. 6.3</w:t>
      </w:r>
    </w:p>
    <w:p>
      <w:r>
        <w:t>Au regard de ce qui précède, le Tribunal est amené à constater qu'en raison de la stabilité professionnelle dont jouit A._______, qui oeuvre pour le même employeur depuis plus de quatre ans, celle-ci dispose de moyens financiers suffisants pour assumer les charges de son ménage et, partant, pour assurer son indépendance financière et celle de sa fille. A ce titre, il sied de mettre en exergue le fait que la recourante ne perçoit aucun revenu de l'aide sociale vaudoise (cf. attestation du Centre social régional du 16 avril 2014) et n'a aucune poursuite à son encontre (cf. déclaration, datée du 11 avril 2014, de l'Office des poursuites du district du Jura-Nord Vaudois, à Yverdon-les-Bains). Par ailleurs, aucune pièce du dossier ne permet de penser qu'il faille craindre une détérioration subite et prochaine de la situation professionnelle et, partant, économique de A._______. Aussi, les moyens financiers de C._______ doivent être considérés comme suffisants au regard des art. 24 par. 1 et 2 Annexe I ALCP et 16 al. 1 OLCP, si bien qu'on ne saurait remettre en cause son droit à l'octroi d'un titre de séjour sur la base de l'ALCP. Il s'ensuit que sa mère, A._______, détentrice du droit de garde, doit se voir reconnaître un droit (dérivé) à séjourner en Suisse à ses côtés.</w:t>
      </w:r>
    </w:p>
    <w:p>
      <w:r>
        <w:rPr>
          <w:b/>
        </w:rPr>
        <w:t>E. 7</w:t>
      </w:r>
    </w:p>
    <w:p>
      <w:r>
        <w:t>Le recours est en conséquence admis et la décision attaquée annulée. L'octroi d'une autorisation de séjour en faveur de A._______ est approuvé. Partant, il apparaît superflu d'analyser le cas d'espèce sous l'angle des art. 8 CEDH et 50 LEtr.</w:t>
      </w:r>
    </w:p>
    <w:p>
      <w:r>
        <w:rPr>
          <w:b/>
        </w:rPr>
        <w:t>E. 8.1</w:t>
      </w:r>
    </w:p>
    <w:p>
      <w:r>
        <w:t>Obtenant gain de cause, la recourante n'a pas à supporter de frais de procédure (cf. art. 63 al. 1 a contrario PA), pas plus que l'autorité qui succombe (cf. art. 63 al. 2 PA).</w:t>
      </w:r>
    </w:p>
    <w:p>
      <w:r>
        <w:rPr>
          <w:b/>
        </w:rPr>
        <w:t>E. 8.2</w:t>
      </w:r>
    </w:p>
    <w:p>
      <w:r>
        <w:t>Par ailleurs, la recourante a droit à des dépens (cf. art. 62 al. 1 PA en relation avec l'art. 7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 mandataire, le Tribunal estime, au regard des art. 8ss FITAF, que le versement d'un montant de 1'600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