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C-2001/2007 vom 23. März 2007</w:t>
      </w:r>
    </w:p>
    <w:p>
      <w:r>
        <w:t>Bundesverwaltungsgericht, 2007-03-23, FR</w:t>
      </w:r>
    </w:p>
    <w:p>
      <w:r>
        <w:rPr>
          <w:b/>
        </w:rPr>
        <w:t xml:space="preserve">Quelle: </w:t>
      </w:r>
      <w:r>
        <w:t>https://mcp.opencaselaw.ch/entscheid/bvger_C-2001_2007</w:t>
      </w:r>
    </w:p>
    <w:p>
      <w:r>
        <w:t>FR: TAF C-2001/2007 du 23 mars 2007</w:t>
      </w:r>
    </w:p>
    <w:p>
      <w:r>
        <w:t>IT: TAF C-2001/2007 del 23 marzo 2007</w:t>
      </w:r>
    </w:p>
    <w:p>
      <w:pPr>
        <w:pStyle w:val="Heading2"/>
      </w:pPr>
      <w:r>
        <w:t>Regeste</w:t>
      </w:r>
    </w:p>
    <w:p>
      <w:r>
        <w:t>Procédure administrative et procédure du Tribunal administratif fédéral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n'est pas entré en matière dans le présent recours.</w:t>
      </w:r>
    </w:p>
    <w:p>
      <w:r>
        <w:rPr>
          <w:b/>
        </w:rPr>
        <w:t>E. 2</w:t>
      </w:r>
    </w:p>
    <w:p>
      <w:r>
        <w:t>Le dossier est transmis au Tribunal pénal fédéral comme objet de sa compétence.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Cette ordonnance est adressée (recommandé) : - au mandataire du recourant - à l'autorité intimée - au Tribunal pénal fédéral (annexe: le dossier complet de la cause) Voies de droit Le présent arrêt peut faire l'objet d'un recours auprès du Tribunal fédéral, 1000 Lausanne 14, dans les 30 jours à compter de sa notification (art. 42, art. 48 et art. 100 de la loi fédérale sur le Tribunal fédéral du 17 juin 2005 [LTF, RS 173.110]). Le Juge: La Greffière: Eduard Achermann Isabelle Pittet Date d'expédition: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