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C-1990/2010 vom 27. Juli 2010</w:t>
      </w:r>
    </w:p>
    <w:p>
      <w:r>
        <w:t>Bundesverwaltungsgericht, 2010-07-27, FR</w:t>
      </w:r>
    </w:p>
    <w:p>
      <w:r>
        <w:rPr>
          <w:b/>
        </w:rPr>
        <w:t xml:space="preserve">Quelle: </w:t>
      </w:r>
      <w:r>
        <w:t>https://mcp.opencaselaw.ch/entscheid/bvger_C-1990_2010</w:t>
      </w:r>
    </w:p>
    <w:p>
      <w:r>
        <w:t>FR: TAF C-1990/2010 du 27 juillet 2010</w:t>
      </w:r>
    </w:p>
    <w:p>
      <w:r>
        <w:t>IT: TAF C-1990/2010 del 27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 p. 343 ss).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Vietnam, C._______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w:t>
      </w:r>
    </w:p>
    <w:p>
      <w:r>
        <w:t>A ce sujet, il faut prendre en considération la situation socio-économique prévalant au Vietnam ainsi que les disparités économiques importantes existant entre ce pays et la Suisse. Le Vietnam jouit certes d'une économie qui compte parmi les plus dynamiques dans la région, avec une croissance de 5,3 % en 2009, malgré la crise financière mondiale. Il figure en outre parmi les pays ayant la croissance la plus élevée et est aujourd'hui le 3ème exportateur mondial de riz. L'économie vietnamienne reste cependant encore très dépendante des investissements étrangers et des exportations, notamment vers les Etats-Unis et l'Europe. Un certain nombre de déséquilibres économiques sont par ailleurs apparus en 2008-2009 parmi lesquels, l'emballement de l'inflation (qui atteignait 27,9% fin septembre 2008 en glissement annuel), le creusement du déficit commercial (4,8 milliards USD en 2006 ; 18 milliards USD en 2008), de fortes tensions sur la monnaie qui ont amené les autorités à la laisser se déprécier légèrement et le creusement du déficit public, entraîné notamment par les investissements massifs réalisés par les entreprises publiques. Sans remettre en cause le rythme de croissance du pays, la crise économique et financière mondiale a renversé certaines tendances. Les échanges extérieurs ont été fortement dégradés. La crise internationale a également joué sur les transferts de la diaspora, importants contributeurs à la croissance du PIB, qui ont marqué un net recul en 2009 (moins 20% au premier semestre). Des signes de reprise sont toutefois apparus dès la fin 2009, et les perspectives de croissance pour 2010 restent parmi les plus élevées d'Asie avec 6%, selon les prévisions du FMI. En 2009, le PIB par habitant était de 2'862 USD (cf. site du Ministère des affaires étrangères et européennes de la République française www.diplomatie.gouv.fr &gt; Pays - zone géo &gt; Vietnam &gt; Présentation du Vietnam, mis à jour le 25 juin 2010, visité le 19 juillet 2010). Ces conditions économiques difficiles ne sont pas sans exercer une pression migratoire importante, en particulier sur la population jeune, cette tendance étant encore renforcée lorsque les personnes concernées peuvent s'appuyer à l'étranger sur un réseau social (parents, amis) préexistant, ce qui est le cas en l'espèce. Toutefois, la seule situation dans le pays d'origine de la requérante ne suffit pas à conclure à l'absence de garantie quant à son retour à l'issue du séjour, toutes les particularités du cas d'espèce devant être prises en considération.</w:t>
      </w:r>
    </w:p>
    <w:p>
      <w:r>
        <w:rPr>
          <w:b/>
        </w:rPr>
        <w:t>E. 9</w:t>
      </w:r>
    </w:p>
    <w:p>
      <w:r>
        <w:t>En l'occurrence, sans pour autant minimiser les raisons d'ordre affectif qui motivent sa demande, le Tribunal ne saurait admettre, au vu de l'ensemble des éléments du dossier, que le retour de C._______ au Vietnam au terme de l'autorisation demandée puisse être considéré comme suffisamment garanti. Il ressort en effet de l'ensemble des pièces du dossier que la prénommée est âgée de près de 28 ans, célibataire et sans charge de famille, de sorte qu'elle serait à même de se créer une nouvelle existence hors de sa patrie, sans que cela n'entraîne pour elle de difficultés sur le plan familial. Même si elle possède des attaches familiales dans son pays d'origine et s'il convient d'admettre que de tels liens peuvent, dans une certaine mesure, inciter une personne, au terme du séjour envisagé en Suisse, à retourner dans le pays où elle réside, ils ne sauraient toutefois suffire, à eux seuls, à garantir le retour de l'intéressée au Vietnam, au vu du contexte socio-économique et politique dans lequel se trouve cet Etat, d'autant moins que sa soeur et son beau-frère vivent en Suisse et que l'éventualité que la requérante ne tente de demeurer auprès d'eux ne peut être totalement exclue. Certes, les recourants ont produit copie du contrat de travail de durée indéterminée daté du 1er mai 2010, duquel il ressort que leur invitée a été engagée comme comptable dans une société pour un salaire mensuel net de 600 USD, ainsi qu'un document établi, le 4 juin 2010, par le nouvel employeur de l'invitée autorisant celle-ci à prendre trois mois de congé. Or, il apparaît pour le moins surprenant que cette dernière puisse déjà bénéficier d'un congé d'une telle durée alors qu'elle vient d'être engagée. Quoiqu'il en soit, cela ne suffit pas non plus à assurer son départ du territoire helvétique au terme du séjour projeté. En effet, au vu du récent contrat de travail fourni par les invitants, le Tribunal de céans ne saurait considérer que l'intéressée exerce actuellement une activité lucrative suffisamment stable pour l'inciter à retourner dans son pays d'origine. Par ailleurs, le Tribunal ne décèle aucun élément dans le dossier qui permette de conclure que sa situation financière se trouverait péjorée si elle devait, cas échéant, quitter son activité au Vietnam pour prendre un emploi en Suisse. Dans ce contexte et compte tenu du niveau de vie sensiblement plus élevé que présente la Suisse, les autorités helvétiques ne peuvent donc totalement exclure que la requérante ne soit tentée, une fois entrée en ce pays, de s'installer durablement dans ce pays, dans l'espoir de s'y préparer un avenir plus prometteur que dans sa patrie, malgré les assurances contraires qui ont été données dans le cadre du recours. Il ne faut pas perdre de vue en effet que cette différence de niveau de vie peut s'avérer déterminante lorsque est prise la décision de quitter son pays. Au surplus, la requête de visa d'entrée en Suisse de l'invitée apparaît essentiellement fondée sur l'aide familiale avant et après l'accouchement de B._______ pour laquelle les recourants ont demandé sa venue dans ce pays (cf. lettre d'invitation du 15 novembre 2009 et courrier du 13 décembre 2009). Il s'impose de relever à ce sujet que l'enfant est né il y a près de cinq mois, avant même le dépôt du recours. Ainsi, si cette naissance a engendré un certain bouleversement de la routine quotidienne des invitants, la situation s'est depuis lors vraisemblablement stabilisée et l'intéressée ne pourra plus apporter une aide déterminante à sa soeur sur ce plan. En tout état de cause, un tel motif ne correspond pas à un séjour touristique. En effet, une activité d'aide familiale, même exercée gratuitement, doit en principe être considérée comme une activité lucrative au sens de l'art. 11 al. 2 LEtr, sous réserve de circonstances familiales particulières (cf. arrêt du Tribunal administratif fédéral C-2137/2009 du 2 juillet 2009 consid. 6 et jurisprudence citée). L'autorisation de séjour eu vue d'exercer une activité lucrative est de la compétence des cantons (art. 40 al. 1 LEtr) et est soumise à des conditions strictes (cf. art. 18 ss LEtr). Dès lors, indépendamment de la question - qui peut rester ouverte au vu de l'issue du litige - de savoir si une telle autorisation serait nécessaire, il ne peut être exclu que des démarches en vue d'une prolongation de séjour soient entreprises afin que l'invitée puisse aider sa soeur et son beau-frère au-delà de la durée du visa initialement sollicité. Ce risque apparaît d'autant plus élevé, in casu, que cette dernière est non seulement devenue maman depuis quelques mois, mais est aussi gérante d'un snack depuis 2009. Le Tribunal de céans est certes sensible aux problèmes invoqués par les recourants liés à la naissance d'un premier enfant. Il faut toutefois mentionner qu'ils ne constituent pas des éléments déterminants dans l'examen de la présente cause, dans la mesure où la venue en Suisse de l'intéressée n'est pas la seule solution envisageable. En effet, si les invitants ont besoin d'une aide à domicile, des démarches peuvent être entreprises pour trouver en Suisse un soutien adapté à leurs besoins. Certes, la requérante est déjà venue en Suisse en 2008 et a quitté le pays dans les délais. Il n'en demeure pas moins que, dans le cadre de la présente procédure, seule la situation actuelle de l'invitée est déterminante. Or, comme exposé ci-avant, celle-ci ne permet pas d'envisager, en l'état du dossier, l'admission du recours.</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11</w:t>
      </w:r>
    </w:p>
    <w:p>
      <w:r>
        <w:t>Par surabondance, il sied de relever qu'un refus d'autorisation d'entrée prononcé par les autorités helvétiques n'a pas pour conséquence d'empêcher l'invitée de maintenir des liens avec sa soeur et son beau-frère en Suisse, ceux-ci pouvant tout aussi bien se rencontrer au Vietnam, comme ils l'ont apparemment déjà fait par le passé.</w:t>
      </w:r>
    </w:p>
    <w:p>
      <w:r>
        <w:rPr>
          <w:b/>
        </w:rPr>
        <w:t>E. 12</w:t>
      </w:r>
    </w:p>
    <w:p>
      <w:r>
        <w:t>Au vu de l'ensemble des éléments de la cause, le Tribunal estime qu'il ne saurait être reproché à l'ODM d'avoir considéré que le départ de C._______ à l'échéance du visa requis n'était pas suffisamment assuré et, partant, d'avoir refusé la délivrance d'une autorisation d'entrée dans l'Espace Schengen en sa faveur.</w:t>
      </w:r>
    </w:p>
    <w:p>
      <w:r>
        <w:rPr>
          <w:b/>
        </w:rPr>
        <w:t>E. 13</w:t>
      </w:r>
    </w:p>
    <w:p>
      <w:r>
        <w:t>Il ressort de ce qui précède que la décision de l'ODM du 5 mars 2010 est conforme au droit.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