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C-1980/2010 vom 2. Februar 2011</w:t>
      </w:r>
    </w:p>
    <w:p>
      <w:r>
        <w:t>Bundesverwaltungsgericht, 2011-02-02, IT</w:t>
      </w:r>
    </w:p>
    <w:p>
      <w:r>
        <w:rPr>
          <w:b/>
        </w:rPr>
        <w:t xml:space="preserve">Quelle: </w:t>
      </w:r>
      <w:r>
        <w:t>https://mcp.opencaselaw.ch/entscheid/bvger_C-1980_2010</w:t>
      </w:r>
    </w:p>
    <w:p>
      <w:r>
        <w:t>FR: TAF C-1980/2010 du 2 février 2011</w:t>
      </w:r>
    </w:p>
    <w:p>
      <w:r>
        <w:t>IT: TAF C-1980/2010 del 2 febbraio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La ricorrente ha versato un anticipo di Fr. 300.-, corrispondente alle presunte spese processuali. Il gravame è dunque ammissibile, nulla ostando all'esame del merito dello stesso.</w:t>
      </w:r>
    </w:p>
    <w:p>
      <w:r>
        <w:rPr>
          <w:b/>
        </w:rPr>
        <w:t>E. 3.1</w:t>
      </w:r>
    </w:p>
    <w:p>
      <w:r>
        <w:t>L'insorgente ha la doppia cittadinanza svizzera ed italiana. 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Il periodo di cognizione giudiziaria dello scrivente Tribunale amministrativo federale si estende fino al 25 febbraio 2010,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w:t>
      </w:r>
    </w:p>
    <w:p>
      <w:r>
        <w:t>Nel caso in esame risulta che l'interessata soffre essenzialmente di una recrudescenza dei problemi dell'anca destra operata nel 2003 in seguito a resezione in sede inferiore del massiccio trocanterico (per presenza di tumore giganto-cellulare), impianto di protesi, importante deficit funzionale con instabilità del bacino, sindrome lombo vertebrale secondaria ad irritazione meccanica della cerniera lombosacrale (cfr. perizie nell'incarto Allianz dei Dott.ri Caranzano, Goldinger ed Hefti). Dal 2004, la nominata presenta anche un'intolleranza alla vista del sangue.</w:t>
      </w:r>
    </w:p>
    <w:p>
      <w:r>
        <w:rPr>
          <w:b/>
        </w:rPr>
        <w:t>E. 8</w:t>
      </w:r>
    </w:p>
    <w:p>
      <w:r>
        <w:t>Non concordi sono i pareri circa le ripercussioni invalidanti delle menzionate affezioni. Il Dott. Goldinger, la cui perizia risale al 21 settembre 2009 ed è posteriore a quelle dei Dott.ri Caranzano e Ponti, ritiene che la paziente, a determinate condizioni di postura, porto pesi, marcia (cfr. perizia pag. 9), presenti un grado d'incapacità di lavoro del 25% al massimo. Gli altri due sanitari pongono invece un tasso d'incapacità di lavoro del 50% almeno sempre a determinate condizioni. Non è tuttavia necessario, nella presente specie, dirimere le divergenze fra le diverse valutazioni sanitarie contenute sia nell'incarto di istruttoria che in quello di ricorso (Dott. Prof. Hefti in particolare) per i motivi indicati nel prossimo considerando.</w:t>
      </w:r>
    </w:p>
    <w:p>
      <w:r>
        <w:rPr>
          <w:b/>
        </w:rPr>
        <w:t>E. 9.1</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Solo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9.2</w:t>
      </w:r>
    </w:p>
    <w:p>
      <w:r>
        <w:t>In base al certificato di lavoro emesso il 23 luglio 2009, A._______, assunta presso uno studio medico-dentistico di Chiasso il 1° luglio 2002, ha sempre svolto le sue mansioni in misura completa, ossia per 42,5 ore settimanali. La retribuzione era inferiore della stessa categoria, in quanto il rendimento della dipendente, per motivi apparentemente di salute, non corrispondeva alle esigenze aziendali. Date queste premesse, l'interessata percepiva nel 2009 un salario di 4'000.- franchi mensili invece di un introito di Fr. 4'539.- previsto secondo gli stipendi degli assistenti dentali (cfr. tabella della Società svizzera di odontoiatria). Di fatto, la dipendente è stata assegnata ad incombenze amministrative per circa 1/3 dell'orario ed ad assistenza medica vera e propria per gli altri due terzi. Non risultano importanti assenze dal lavoro per malattia almeno fino al 23 giugno 2009, ossia da quando la nominata ha chiesto di lavorare al 50%, domanda che il datore di lavoro ha accolto (cfr. lettera/risposta del datore di lavoro a questo Tribunale del 24 dicembre 2010). Dopo questa data l'interessata ha lavorato normalmente al 50% pur ricevendo solo il 25% di copertura assicurativa perdita di guadagno da parte dell'Allianz a partire dal 1° ottobre 2009 (in esito agli accertamenti specialistici fatti svolgere da tale assicuratore). Neanche dopo il 23 giugno 2009 risultano sensibili o prolungate assenze dal lavoro per malattia (cfr. lettera del 24 dicembre 2010 del datore di lavoro). È solo a partire dall'8 settembre 2010 che l'interessata è assente dal lavoro in misura completa.</w:t>
      </w:r>
    </w:p>
    <w:p>
      <w:r>
        <w:rPr>
          <w:b/>
        </w:rPr>
        <w:t>E. 9.3</w:t>
      </w:r>
    </w:p>
    <w:p>
      <w:r>
        <w:t>Da quanto precede, ne consegue che, nonostante le lamentate affezioni che di principio non sono contestate, A._______ ha dimostrato, con comportamento concludente, di aver posto ad utile profitto in occupazione confacente alle sue attitudini la sua superstite energia lavorativa in misura superiore al 60%. La continuità dell'attività in questione, almeno fino al 23 giugno 2009, dimostra l'esigibilità di tale lavoro. Ora, anche nell'ipotesi in cui un caso d'assicurazione fosse sorto a partire da tale data, il rifiuto di prestazioni assicurative opposto dall'amministrazione è tutelabile in quanto alla data dell'impugnata decisione, emanata il 25 febbraio 2010, non era ancora trascorso il termine d'attesa di un anno previsto dall'art. 28 cpv. 1 lett. b LAI. Il riferimento della parte ricorrente al certificato del Dott. Ponti del 17 febbraio 2009, quale data d'inizio del fattore invalidante, non è pertinente, dal momento che a quell'epoca l'interessata lavorava. In proposito va ricordato che, secondo un principio generale del diritto della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al lavoro, se necessario in una nuova professione (DTF 130 V 97 consid. 3.2 con I rif.).</w:t>
      </w:r>
    </w:p>
    <w:p>
      <w:r>
        <w:rPr>
          <w:b/>
        </w:rPr>
        <w:t>E. 10</w:t>
      </w:r>
    </w:p>
    <w:p>
      <w:r>
        <w:t>L'insorgente ritiene che la motivazione in merito al mancato adempimento del periodo d'attesa di cui sopra avrebbe dovuto essere esposta dall'amministrazione già in sede di audizione o, perlomeno, con la decisione stessa e non con la risposta di causa. Ora, giusta l'art. 62 cpv. 4 PA, l'autorità di ricorso non è vincolata, in nessun caso, dai motivi del ricorso. È ben vero che l'amministrazione ha sollevato l'evidenza del mancato ossequio del periodo d'attesa di un anno solo con la sua risposta di causa. Tuttavia, il collegio giudicante può respingere il gravame per un altro motivo non necessariamente fatto valere dall'amministrazione in nessuna fase della procedura. Nel caso in esame, poi, la parte ricorrente ha avuto oltremodo la possibilità di pronunciarsi su tale argomento in sede di replica e non può invocare l'eventuale violazione del diritto di essere sentito sancito dall'art. 29 cpv. 2 Costituzione federale. L'insorgente ha comunque la possibilità di inoltrare una nuova domanda di rendita se ritiene che le condizioni per avere diritto a una rendita si sono realizzate dopo la data della decisione impugnata.</w:t>
      </w:r>
    </w:p>
    <w:p>
      <w:r>
        <w:rPr>
          <w:b/>
        </w:rPr>
        <w:t>E. 11.1</w:t>
      </w:r>
    </w:p>
    <w:p>
      <w:r>
        <w:t>In queste circostanze, il ricorso deve essere respinto e l'impugnata decisione confermata. Il ricorso in esame può essere risolto da un giudice unico in applicazione dell'art. 69 cpv. 2 LAI.</w:t>
      </w:r>
    </w:p>
    <w:p>
      <w:r>
        <w:rPr>
          <w:b/>
        </w:rPr>
        <w:t>E. 11.2</w:t>
      </w:r>
    </w:p>
    <w:p>
      <w:r>
        <w:t>Le spese processuali, ammontanti a Fr. 300.-, sono poste a carico della ricorrente e vengono compensate con l'anticipo versato il 28 luglio 2010.</w:t>
      </w:r>
    </w:p>
    <w:p>
      <w:r>
        <w:rPr>
          <w:b/>
        </w:rPr>
        <w:t>E. 11.3</w:t>
      </w:r>
    </w:p>
    <w:p>
      <w:r>
        <w:t>Visto l'esito del ricorso non si assegnano indennità per spese ripetibili.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