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C-1967/2021 vom 16. November 2021</w:t>
      </w:r>
    </w:p>
    <w:p>
      <w:r>
        <w:t>Bundesverwaltungsgericht, 2021-11-16, IT</w:t>
      </w:r>
    </w:p>
    <w:p>
      <w:r>
        <w:rPr>
          <w:b/>
        </w:rPr>
        <w:t xml:space="preserve">Quelle: </w:t>
      </w:r>
      <w:r>
        <w:t>https://mcp.opencaselaw.ch/entscheid/bvger_C-1967_2021</w:t>
      </w:r>
    </w:p>
    <w:p>
      <w:r>
        <w:t>FR: TAF C-1967/2021 du 16 novembre 2021</w:t>
      </w:r>
    </w:p>
    <w:p>
      <w:r>
        <w:t>IT: TAF C-1967/2021 del 16 novembre 2021</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Inoltre, con versamento del 28 maggio 2021 (doc. TAF 3 e doc. TAF 5 e allegati), il ricorrente ha tempestivamente corrisposto il richiesto anticipo di fr. 800.31 a copertura delle presumibili spese processuali (art. 21 cpv. 3 e 63 cpv. 4 PA).</w:t>
      </w:r>
    </w:p>
    <w:p>
      <w:r>
        <w:rPr>
          <w:b/>
        </w:rPr>
        <w:t>E. 2.1</w:t>
      </w:r>
    </w:p>
    <w:p>
      <w:r>
        <w:t>Il ricorrente è cittadino di uno Stato membro della Comunità europea, è domiciliato in tale Stato (Italia) e sussiste un nesso transfrontaliero (DTF 143 V 354 consid. 4, 143 V 81, in particolare consid. 8.1, nonché 141 V 521 consid. 4.3.2), per cui è applicabile, di principio, l'ALC (RS 0.142.112.681).</w:t>
      </w:r>
    </w:p>
    <w:p>
      <w:r>
        <w:rPr>
          <w:b/>
        </w:rPr>
        <w:t>E. 2.2</w:t>
      </w:r>
    </w:p>
    <w:p>
      <w:r>
        <w:t>L'allegato II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23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dei contributi per più di un anno (cfr. doc. 15 [estratto CI], doc. 36 [attestato E 205 Italia], doc. 67, doc. 115, doc. 131 e doc. 185 [ripetuto in doc. 186 pag. 3]).</w:t>
      </w:r>
    </w:p>
    <w:p>
      <w:r>
        <w:rPr>
          <w:b/>
        </w:rPr>
        <w:t>E. 5</w:t>
      </w:r>
    </w:p>
    <w:p>
      <w:r>
        <w:t>Dal momento che è entrata nel merito della quarta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del 28 agosto 2014, e la situazione al momento dell'emanazione della decisione qui impugnata, del 23 marzo 2021, è intervenuta una significativa modifica del grado d'invalidità (cfr. sentenze del TF 9C_421/2014 del 21 luglio 2014 consid. 3 e 9C_418/2010 del 29 agosto 2011 consid. 4.2 e 4.3).</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7.4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w:t>
      </w:r>
    </w:p>
    <w:p>
      <w:r>
        <w:t>Nel caso concreto, occorre innanzitutto verificare se l'istruttoria effettuata dall'autorità inferiore sia sufficiente, o meno, per statuire nel caso di specie.</w:t>
      </w:r>
    </w:p>
    <w:p>
      <w:r>
        <w:rPr>
          <w:b/>
        </w:rPr>
        <w:t>E. 8.1</w:t>
      </w:r>
    </w:p>
    <w:p>
      <w:r>
        <w:t>Questo Tribunale rileva che il 28 agosto 2014, momento in cui è stata respinta la terza domanda di rendita dell'assicurazione svizzera per l'invalidità, sono state poste quali diagnosi con ripercussioni sulla capacità lavorativa una dorso-lombalgia cronica su disturbi degenerativi del rachide cervicale e lombare M54.5, una sindrome della cuffia dei rotatori destra e un conflitto subacromiale bilaterale. Quali diagnosi associate senza ripercussioni sulla capacità lavorativa sono invece state ritenute una gonartrosi iniziale bilaterale (modesta), una sindrome del tunnel carpale bilaterale e una coxartrosi. È stato altresì ritenuto che a causa dei disturbi degenerativi evoluti della colonna lombare e cervicale l'attività pesante di intonacatore non è più esigibile, ma che un'attività rispettosa delle limitazioni funzionali - quali ad esempio custode/guardiano d'immobile/di cantiere, sorvegliante di un parcheggio/museo, piccole consegne con veicolo, vendita per corrispondenza/telefono/internet se l'assicurato ha le competenze necessarie (attività sedentaria), riparazione di piccoli apparecchi/articoli domestici, venditore di biglietti (attività sedentaria), registro/classamento/archivio - era interamente esigibile.</w:t>
      </w:r>
    </w:p>
    <w:p>
      <w:r>
        <w:rPr>
          <w:b/>
        </w:rPr>
        <w:t>E. 8.2</w:t>
      </w:r>
    </w:p>
    <w:p>
      <w:r>
        <w:t>Nell'ambito della nuova domanda di rendita del 16 aprile 2019, la decisione impugnata del 23 marzo 2021 si basa sulla valutazione del dott. C._______, medico SMR la cui specializzazione non è nota, di cui alla presa di posizione del 30 dicembre 2020 (doc. 188). Nella menzionata presa di posizione, detto medico ha posto le seguenti diagnosi con influsso sulla capacità lavorativa: dorsolombalgie croniche su disturbi degenerativi cervicali e lombari evoluti M54.4, sindrome della cuffia dei rotatori destra M75.9, gonartrosi moderata DDC, coxartrosi severa bilaterale e tendinopatia della cuffia dei rotatori della spalla sinistra (2017). Quali diagnosi associate senza influsso sulla capacità lavorativa ha invece ritenuto: stato ansioso-depressivo reattivo cronico (noto nel 2014), incidente OD (colpo di fucile con lesione corneale) con perdita della vista all'OD nel dicembre 2014 (vede il movimento delle mani), OS 8/10, glaucoma OD operato nel 2018 e OSAS leggera. Il dott. C._______ ha ritenuto invariata sia l'incapacità lavorativa totale nell'attività abituale (pesante) di intonacatore, sia la capacità lavorativa totale in attività adatte e rispettose dei limiti funzionali (pure rimaste invariate).</w:t>
      </w:r>
    </w:p>
    <w:p>
      <w:r>
        <w:rPr>
          <w:b/>
        </w:rPr>
        <w:t>E. 9</w:t>
      </w:r>
    </w:p>
    <w:p>
      <w:r>
        <w:t>Affezione psichica</w:t>
      </w:r>
    </w:p>
    <w:p>
      <w:r>
        <w:rPr>
          <w:b/>
        </w:rPr>
        <w:t>E. 9.1</w:t>
      </w:r>
    </w:p>
    <w:p>
      <w:r>
        <w:t>Quanto alla ritenuta affezione psichica di cui soffre il ricorrente (stato ansioso-depressivo reattivo cronico), giova rilevare che il Tribunale federale con la DTF 141 V 281 ha modificato la sua giurisprudenza al riguardo ridefinendo a quali condizioni queste possano giustificare il diritto a una rendita d'invalidità. In particolare nella valutazione della capacità lavorativa vi è l'abbandono della presunzione secondo cui i disturbi derivanti da malattie psichiche o i loro effetti possono essere superati con uno sforzo di volontà ragionevolmente esigibile. La prassi fondata sul modello regola/eccezione è stata sostituita da uno schema di valutazione normativo strutturato del carattere invalidante delle affezioni di natura psichica mediante un catalogo di indicatori standard (sul tema DTF 143 V 409 e 143 V 418, rispettivamente DTF 141 V 281). Se da un lato quindi tutte le malattie psichiche devono, in linea di principio, soggiacere a tale nuova procedura probatoria strutturata esposta nella DTF 141 V 281, d'altro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143 V 409 e 137 V 210 consid. 6).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(v., tra le altre, sentenza del TF 9C_808/2019 del 18 agosto 2020 consid. 5.2 con rinvio alla DTF 141 V 281 consid. 8). Spetta inoltre agli organi incaricati di applicare il diritto (l'amministrazione o un tribunale in caso di controversia) e procedere all'apprezzamento definitivo della capacità lavorativa dell'interessato (sentenza del TF 9C_808/2019 del 18 agosto 2020 con rinvii, segnatamente alla DTF 140 V 193 consid. 3.2). Peraltro, una perizia psichiatrica è, di regola, necessaria quando si tratta di pronunciarsi sull'incapacità lavorativa che la malattia psichica è in grado di causare (DTF 137 V 64 consid. 4 e 5 e 130 V 353 consid. 2.2.2).</w:t>
      </w:r>
    </w:p>
    <w:p>
      <w:r>
        <w:rPr>
          <w:b/>
        </w:rPr>
        <w:t>E. 9.2</w:t>
      </w:r>
    </w:p>
    <w:p>
      <w:r>
        <w:t>Per i motivi che saranno indicati di seguito, questo Tribunale non può condividere la valutazione del medico SMR su cui si basa la decisione impugnata con riferimento alla valutazione dal profilo psichico perché insufficiente. Il dott. C._______, nella propria presa di posizione del 30 dicembre 2020, ha in effetti ritenuto che lo stato ansioso-depressivo reattivo cronico era già noto nel 2014 e che, come all'epoca, non ha - a suo giudizio - alcun influsso sulla (residua) capacità lavorativa del ricorrente. Questo Tribunale osserva che all'epoca della decisione del 28 agosto 2014 il ricorrente era certo già affetto da un disturbo di natura psichica (disturbo dell'adattamento cronico con ansia ed umore depresso F 43.22 [cfr. certificato medico del 3 marzo 2011 del Dipartimento di salute mentale della ASL di F._______ {doc. 57 {ripetuto in doc. 75}]). Nel rapporto finale SMR del 28 febbraio 2014 (doc. 83), tale patologia era stata ritenuta senza incidenza sulla capacità lavorativa perché la stessa non era stata ripresa nella perizia medica particolareggiata E 213 dell'11 novembre 2013 (doc. 66). Con riferimento all'evoluzione successiva dell'affezione psichica, giova rilevare che allorquando un'affezione di tale natura è stata diagnosticata lege artis da uno specialista e giudicata senza incidenza sulla capacità lavorativa, può essere rinunciato ad una procedura d'accertamento strutturata (DTF 143 V 409 consid. 4.5.3). Sennonché, da un lato, il dott. C._______ non appare disporre della specializzazione in psichiatria e, dall'altro lato, la sua valutazione di cui alla presa di posizione del 30 dicembre 2020 non è sorretta da documentazione specialistica oggettiva che possa confermarla. Per conseguenza, la conclusione secondo la quale lo stato ansioso-depressivo reattivo cronico di cui soffre il ricorrente sarebbe senza incidenza sulla residua capacità lavorativa non può definirsi una valutazione lege artis su cui potersi seriamente basare. In altri termini, posta la diagnosi (incontestata) di stato ansioso-depressivo reattivo cronico, l'autorità inferiore non poteva prescindere, senza validi motivi, dall'espletare una perizia psichiatrica rispondente ai criteri di una procedura probatoria strutturata ai sensi della succitata giurisprudenza (esame peritale peraltro mai eseguito nemmeno in nessuna delle precedenti domande di rendita). Basti rilevare che la succitata diagnosi psichica è stata posta anche da specialisti italiani, i quali l'hanno descritta come grave ("disturbo depressivo maggiore grave"; cfr. il certificato del 21 maggio 2015 del Dipartimento di salute mentale di G._______ [doc. 101, ripetuto in doc. 132 e in doc. 175] e la relazione di perizia medico-legale del 15 luglio 2016, eseguita per il Tribunale di F._______, Sezione lavoro [doc. 155 e doc. 4 allegato al doc. TAF 1]). Gli specialisti italiani hanno prescritto una cura farmacologica, terapia farmacologia che non era in atto, almeno da quanto emerge dall'esame degli atti di cui all'incarto, prima del 21 maggio 2015 (cfr. doc. 101 e doc. 173, nonché la modifica della terapia il 19 ottobre 2020 [doc. 130 e doc. 8 allegato al doc. TAF 1]) e l'hanno ritenuta, fra altre patologie, pure comportante il riconoscimento di un'invalidità nel Paese di residenza (cfr. il verbale del 29 giugno 2015 della Commissione medica per l'accertamento dell'invalidità civile, delle condizioni visive e della sordità in cui è stata riconosciuta un'invalidità con riduzione permanente della capacità lavorativa del 65% [doc. 3 allegato al doc. TAF 1], la perizia medico-legale del 15 luglio 2016 nella quale è stata attestata un'invalidità con riduzione permanente della capacità lavorativa dell'83% [doc. 155] e la perizia medica particolareggiata E 213 del 3 dicembre 2019 in cui è indicata un'invalidità del 67% [doc. 144]). Certo, la valutazione dell'invalidità in uno Stato estero non vincola le autorità svizzere dell'assicurazione per l'invalidità, ma nella presente fattispecie, a fronte della surriferita affezione psichica che è da ritenersi suscettibile di incidere sulla residua capacità lavorativa dell'insorgente, all'autorità inferiore non poteva sfuggire la necessità di effettuare ulteriori accertamenti mediante una procedura probatoria strutturata alfine di potere determinare, con il necessario grado della verosimiglianza preponderante, l'influsso di detta affezione sulla (residua) capacità lavorativa del ricorrente.</w:t>
      </w:r>
    </w:p>
    <w:p>
      <w:r>
        <w:rPr>
          <w:b/>
        </w:rPr>
        <w:t>E. 10</w:t>
      </w:r>
    </w:p>
    <w:p>
      <w:r>
        <w:t>Affezioni somatiche</w:t>
      </w:r>
    </w:p>
    <w:p>
      <w:r>
        <w:rPr>
          <w:b/>
        </w:rPr>
        <w:t>E. 10.1</w:t>
      </w:r>
    </w:p>
    <w:p>
      <w:r>
        <w:t>Il medico SMR ha ritenuto che le affezioni somatiche di cui il ricorrente è affetto hanno subito un peggioramento (segnatamente, le preesistenti gonartrosi e coxartrosi, nonché la nuova tendinopatia della cuffia dei rotatori sinistra, sono state inserite fra le diagnosi con influsso sulla capacità lavorativa). A suo giudizio, tale aggravamento dello stato di salute non appare però incompatibile con l'esercizio al 100% delle attività sostitutive ritenute (ossia ad esempio custode/guardiano d'immobile/di cantiere, sorvegliante di un parcheggio/museo, piccole consegne con veicolo, vendita per corrispondenza/telefono/internet se l'assicurato ha le competenze necessarie [attività sedentaria], riparazione di piccoli apparecchi/articoli domestici, venditore di biglietti [attività sedentaria], registro/classamento/archivio). Per il medico SMR, ovviamente neppure le affezioni da lui considerate senza influsso sulla residua capacità lavorativa - segnatamente la perdita della vista all'occhio destro, il glaucoma all'occhio destro, l'OSAS leggera - si oppongono all'esercizio di un'attività sostitutiva adeguata a tempo pieno.</w:t>
      </w:r>
    </w:p>
    <w:p>
      <w:r>
        <w:rPr>
          <w:b/>
        </w:rPr>
        <w:t>E. 10.2</w:t>
      </w:r>
    </w:p>
    <w:p>
      <w:r>
        <w:t>Certo, il ricorrente, da parte sua, non ha indicato in modo chiaro e dettagliato il motivo per cui le sue affezioni somatiche sarebbero inconciliabili con l'esercizio di un'attività sostitutiva adeguata nel senso indicato dal medico SMR, limitandosi più che altro ad una generica contestazione secondo cui egli sarebbe stato riconosciuto in Italia quale "invalido generico" ossia per qualsiasi tipo di attività lavorativa. L'insorgente appare anzi più che altro contestare la presenza di personali risorse necessarie per l'effettuazione di un cambiamento professionale dopo tanti anni in un'attività manuale, aspetto - quello delle risorse - che sarà da determinare nell'ambito della perizia psichiatrica, segnatamente mediante l'esame degli indicatori rispettivamente nell'ambito della valutazione circa la possibilità di effettivamente sfruttare un'eventuale residua capacità lavorativa medico teorica.</w:t>
      </w:r>
    </w:p>
    <w:p>
      <w:r>
        <w:rPr>
          <w:b/>
        </w:rPr>
        <w:t>E. 10.3</w:t>
      </w:r>
    </w:p>
    <w:p>
      <w:r>
        <w:t>Questo Tribunale ritiene tuttavia che si giustificava prima della pronuncia della decisione impugnata, e si giustifica tutt'ora, l'esperimento di una perizia (almeno) reumatologica, conto tenuto del numero delle patologie di cui è affetto il ricorrente, segnatamente coinvolgenti il rachide lombare e cervicale, le spalle, le anche e le ginocchia, nonché del tempo trascorso dalla decisione del 28 agosto 2014. Ritenuta la presenza di estrusioni erniarie, protrusioni discali multiple, poliradicolopatie, nonché di bulging discali presenti nel rachide del ricorrente, sarà da valutare pure la necessità dell'esperimento di una perizia neurologica (un'eventuale rinuncia ad una siffatta perizia dovrà però essere adeguatamente motivata e convincente). Un tale accertamento permetterà di determinarsi, secondo il grado della verosimiglianza preponderante valida nelle assicurazioni sociali, sulle affezioni somatiche del ricorrente e il loro (eventuale) influsso sulla residua capacità lavorativa del ricorrente. Peraltro, questo Tribunale osserva che una perizia reumatologica e/o neurologica non è mai stata eseguita nemmeno nell'ambito delle precedenti (tre) domande di rendita.</w:t>
      </w:r>
    </w:p>
    <w:p>
      <w:r>
        <w:rPr>
          <w:b/>
        </w:rPr>
        <w:t>E. 11</w:t>
      </w:r>
    </w:p>
    <w:p>
      <w:r>
        <w:t>Per conseguenza, la decisione impugnata del 23 marzo 2021, fondata su un accertamento insufficiente dei fatti giuridicamente rilevanti nel senso precedentemente indicato ai considerandi 9 e 10,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 con riferimento allo stato di salute del ricorrente, segnatamente con una perizia pluridisciplinare, da svolgersi in Svizzera (cfr. sentenza del TAF C-3196/2017 dell'11 settembre 2019 consid. 10.2), in ambito psichiatrico e reumatologico, eventualmente anche neurologico (non essendo sufficiente nel caso di specie esaminare le affezioni mediante perizie isolate [cfr. sulla necessità dell'esperimento di una perizia pluridisciplinare, tanto più in presenza di una patologia psichiatrica, DTF 137 I 327 consid. 7.3, 132 V 65 consid. 4.3 con rinvii; sentenza del TF 9C_235/2013 del 10 settembre 2013 consid. 3.2, nonché sentenze del TAF C-1193/2017 del 23 gennaio 2020 consid. 8.2 e C-3196/2017 dell'11 settembre 2019 consid. 8.4 con rinvii]), e con ogni ulteriore esame che l'evoluzione nel tempo dello stato di salute del ricorrente dovesse rendere ancora necessario, nonché a pronunciare una nuova decisione.</w:t>
      </w:r>
    </w:p>
    <w:p>
      <w:r>
        <w:rPr>
          <w:b/>
        </w:rPr>
        <w:t>E. 12.2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stato di salute del ricorrente e sull'incidenza delle affezioni di cui soffre sulla residua capacità lavorativa nell'attività abituale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richiedere prima di emanare la decisione impugnata, gli elementi per dover agire in tal senso essendo già noti prima dell'emanazione della decisione impugnata.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12.3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23 marzo 2021 l'autorità inferiore ha respinto la richiesta di rendita formulata dal ricorrente.</w:t>
      </w:r>
    </w:p>
    <w:p>
      <w:r>
        <w:rPr>
          <w:b/>
        </w:rPr>
        <w:t>E. 13.1</w:t>
      </w:r>
    </w:p>
    <w:p>
      <w:r>
        <w:t>Visto l'esito della causa, non sono prelevate delle spese processuali (art. 63 PA). L'anticipo equivalente alle presunte spese processuali di fr. 800.31, versato il 28 maggio 2021, sarà restituito al ricorrente allorquando il presente giudizio sarà cresciuto in giudicato.</w:t>
      </w:r>
    </w:p>
    <w:p>
      <w:r>
        <w:rPr>
          <w:b/>
        </w:rPr>
        <w:t>E. 13.2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2'800.- (compresi i disborsi ed esclusa l'imposta sull'IVA [cfr., fra le tante, sentenza del TAF C-3058/2015 del 23 maggio 2016 consid. 22.4.4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