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C-195/2008 vom 25. Mai 2011</w:t>
      </w:r>
    </w:p>
    <w:p>
      <w:r>
        <w:t>Bundesverwaltungsgericht, 2011-05-25, DE</w:t>
      </w:r>
    </w:p>
    <w:p>
      <w:r>
        <w:rPr>
          <w:b/>
        </w:rPr>
        <w:t xml:space="preserve">Quelle: </w:t>
      </w:r>
      <w:r>
        <w:t>https://mcp.opencaselaw.ch/entscheid/bvger_C-195_2008</w:t>
      </w:r>
    </w:p>
    <w:p>
      <w:r>
        <w:t>FR: TAF C-195/2008 du 25 mai 2011</w:t>
      </w:r>
    </w:p>
    <w:p>
      <w:r>
        <w:t>IT: TAF C-195/2008 del 25 maggio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nicht publ. in: BGE 129 II 215).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Die Beschwerdeführerin wirft der Vorinstanz vor, sie sei in der angefochtenen Verfügung mit keinem Wort auf ihre Argumentation eingegangen und habe damit ihren Anspruch auf rechtliches Gehör verletzt.</w:t>
      </w:r>
    </w:p>
    <w:p>
      <w:r>
        <w:rPr>
          <w:b/>
        </w:rPr>
        <w:t>E. 3.2</w:t>
      </w:r>
    </w:p>
    <w:p>
      <w:r>
        <w:t>Der in Art. 29 Abs. 2 der Bundesverfassung der Schweizerischen Eidgenossenschaft vom 18. April 1999 (BV, SR 101) verankerte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136 I 229 E. 5.2 S. 236 mit Hinweisen; BVGE 2010/35 E. 4.1.2 mit Hinweisen; vgl. auch Lorenz Kneubühler, Die Begründungspflicht, Bern 1998, S. 22 ff.).</w:t>
      </w:r>
    </w:p>
    <w:p>
      <w:r>
        <w:rPr>
          <w:b/>
        </w:rPr>
        <w:t>E. 3.3</w:t>
      </w:r>
    </w:p>
    <w:p>
      <w:r>
        <w:t>Im Zusammenhang mit der Prüfung der Vollziehbarkeit der Wegweisung führt die Vorinstanz aus, weshalb sie davon ausgeht, dass der Beschwerdeführerin die Rückkehr nach Marokko zugemutet werden kann, und namentlich, weshalb sie die Befürchtung der Beschwerdeführerin nicht teilt, als geschiedene Frau sei sie in Marokko der Gefahr einer Stigmatisierung ausgesetzt. Damit befasst sich die Vorinstanz knapp aber ausreichend mit einem der beiden zentralen Argumente der Beschwerdeführerin. Das andere zentrale Argument der Beschwerdeführerin, ihre Integration in der Schweiz, bleibt wohl unerwähnt. Allerdings geht die Vorinstanz für die Beschwerdeführerin erkennbar davon aus, dass das Fehlen eines Anspruchs auf Verlängerung der Aufenthaltsbewilligung die Zustimmung zur Verlängerung ausschliesst, dass mit anderen Worten ein Ermessensspielraum, in dessen Rahmen ihre Integration in die schweizerischen Verhältnisse berücksichtigt werden könnte, gar nicht besteht. Damit wird der Begründungspflicht Genüge getan. Ob die Rechtsauffassung der Vorinstanz zutrifft, ist nicht eine Frage des rechtlichen Gehörs, sondern der richtigen Anwendung des materiellen Rechts.</w:t>
      </w:r>
    </w:p>
    <w:p>
      <w:r>
        <w:rPr>
          <w:b/>
        </w:rPr>
        <w:t>E. 4.1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Entscheides er­gibt sich im vorliegenden Fall aus Art. 1 Abs. 1 Bst. a Zustimmungsverordnung in Verbindung mit den Wei­sungen und Er­läuterungen des BFM über Ein­reise, Auf­enthalt und Ar­beitsmarkt (ANAG-Weisun­gen, 3. Aufl., Bern, Mai 2006). Letztere sehen unter Ziff. 132.4 Bst. e vor, dass die Verlän­gerung der Aufenthaltsbewilli­gung einer ausländischen Person nach Scheidung vom schwei­zerischen Ehegat­ten oder nach dessen Tod dem BFM zur Zu­stimmung zu unterbreiten ist, falls die ausländische Person nicht aus einem Mitglied­staat der EFTA oder der EG stammt. Gemäss Art. 19 Abs. 5 ANAV darf eine entsprechende kan­tonale Bewilligung erst ausgestellt wer­den, wenn die Zustimmung des BFM vorliegt; sie gilt ansonsten als un­gültig.</w:t>
      </w:r>
    </w:p>
    <w:p>
      <w:r>
        <w:rPr>
          <w:b/>
        </w:rPr>
        <w:t>E. 4.2</w:t>
      </w:r>
    </w:p>
    <w:p>
      <w:r>
        <w:t>Die Ehe der Beschwerdeführerin mit einem Schweizer Bürger ist geschieden worden, bevor ihr aus Art. 7 Abs. 1 Satz 2 ANAG ein zivilstands­unabhängiger Anspruch auf Verlängerung ihrer Aufenthalts­bewilligung er­wach­sen konnte (vgl. BGE 128 II 145 E. 1.1.4 S. 149 mit Hin­weisen). Ei­ne an­dere An­spruchsgrundlage des Landes- und Völker­rechts be­steht nicht. Eine sol­che kann namentlich nicht in Art. 50 AuG erblickt wer­den, der zwar neue Ansprüche auf Verlängerung der Auf­enthaltsbewilligung nach Auf­lösung der Ehe schafft, auf die vor­liegende Streit­sa­che je­doch wegen der intertemporalen Unterstellung unter das alte Recht nicht an­wendbar ist (vgl. oben Ziff. 2.2, ferner Urteile des Bun­des­ge­richts 2C_245/2008 vom 27. März 2008 E. 2.2.2 und 2C_451/2007 vom 22. Januar 2008 E. 1.2).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5</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6.1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 1786/2007 vom 7. Juni 2010 E. 7.1 mit Hinweis; ferner Ziff. 654 ANAG-Weisungen).</w:t>
      </w:r>
    </w:p>
    <w:p>
      <w:r>
        <w:rPr>
          <w:b/>
        </w:rPr>
        <w:t>E. 6.2</w:t>
      </w:r>
    </w:p>
    <w:p>
      <w:r>
        <w:t>Unter dem Gesichtspunkt der Verhältnismässigkeit ist zu prüfen, ob die Durchsetzung der restriktiven Migrationspolitik im konkreten Einzelfall zu unbilligen, vom öffentlichen Interesse an der Durchsetzung einer restriktiven Einwanderungspolitik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C-1786/2007 vom 7. Juni 2010 E. 7.2 mit Hinweis; ferner Ziff. 654 ANAG-Weisungen).</w:t>
      </w:r>
    </w:p>
    <w:p>
      <w:r>
        <w:rPr>
          <w:b/>
        </w:rPr>
        <w:t>E. 6.3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in letzterem Zusammenhang - allfälligen Gewalterfahrungen in der Ehe sowie der Existenz gemeinsamer Kinder. Je mehr diese Elemente ins Gewicht fallen, umso eher wird man von einer hinreichend schweren Betroffenheit ausgehen können. Umgekehrt rechtfertigt sich ein umso strengerer Massstab, als sich die Härtesituation nicht gerade aus den oben genannten ehespezifischen Elementen ableiten lässt (vgl. Urteil des Bundesverwaltungsgerichts C-1786/2007 vom 7. Juni 2010 E. 7.3 mit Hinweis;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7.1</w:t>
      </w:r>
    </w:p>
    <w:p>
      <w:r>
        <w:t>Die Ehe der Beschwerdeführerin dauerte etwas mehr als drei Jahre. Allerdings wurde das faktische Zusammenleben als Ehepaar bereits sechs Monate nach dem Eheschluss aufgegeben. Die Ehe blieb kinderlos und irgendwelche Besonderheiten im Zusammenhang mit dem Scheitern der Ehe, die es in vorliegendem Zusammenhang zu berücksichtigen gälte, sind nicht bekannt. In dieser Konstellation wird das öffentliche Interesse an der Durchsetzung einer restriktiven Migrationspolitik erst zurückgedrängt, wenn die Auswirkungen des Verlustes der Aufenthaltsbewilligung ein Mass erreichen, das sich nicht wesentlich von der schwerwiegenden persönlichen Notlage im Sinne der Rechtsprechung zu Art. 13 Bst. f BVO unterscheidet. Eine lang dauernde Anwesenheit, eine fortgeschrittene soziale und berufliche Integration sowie ein klagloses Verhalten reichen daher für sich alleine nicht, um das öffentlichen Interesse an der Durchsetzung der restriktiven Migrations­politik in Frage zu stellen. Die Verankerung der ausländischen Person in der Schweiz muss vielmehr so eng sein, dass von ihr nicht verlangt werden kann, in einem anderen Land, insbesondere in ihrem Heimatstaat bzw. Herkunftsland zu leben. Berufliche, freundschaftliche und nachbar­schaftliche Beziehungen, welche während des Aufenthaltes in einem Land normalerweise geknüpft werden, genügen hierzu im Allgemeinen nicht (vgl. BVGE 2007/45 E. 4.2 und 4.3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der bei asylsuchenden Personen in Anbetracht ihrer schwierigen Situation diese Grenze bei 10 Jahren Aufenthalt erblickt).</w:t>
      </w:r>
    </w:p>
    <w:p>
      <w:r>
        <w:rPr>
          <w:b/>
        </w:rPr>
        <w:t>E. 7.2</w:t>
      </w:r>
    </w:p>
    <w:p>
      <w:r>
        <w:t>Der bisherige Aufenthalt der Beschwerdeführerin in der Schweiz ist mit mittlerweile neun Jahren nicht derart lange, dass auf das Vorliegen be­sonderer Umstände im Sinne der obenstehenden Erwägungen verzich­tet werden könnte. Was die Lebensverhältnisse der Beschwerdeführerin hier in der Schweiz angeht, ist anzuerkennen, dass sie wohl einige Integrati­onsleistungen erbracht hat. Sie ist unbescholten, beherrscht nach eigener Darstellung nicht nur in aussergewöhnlicher Weise die deutsche Sprache, sondern versteht auch Dialekt, hat stets zur vollen Zufriedenheit ih­res Arbeitgebers als Raumpflegerin, zuletzt in der Vertrauensstellung ei­ner Gebäudeverantwortlichen gearbeitet, und lebt seit Aufnahme des Ge­trenntlebens allein in einem eigenen Hausstand, eine Lebensform, die - wie sich die Beschwerdeführerin ausdrückt - der hiesigen Lebensweise ent­spricht. Andererseits ist nicht bekannt, ob die Beschwerdeführerin ir­gendwelche über das normale Mass hinausgehende sozialen Kontakte zu ih­rem schweizerischen Umfeld geknüpft hat. Sie hat sich zu diesem Thema zu keinem Zeitpunkt des Verfahrens geäussert. Alles in allem unter­scheidet sich der Integrationsgrad der Beschwerdeführerin nicht we­sentlich von dem, was von einer ausländischen Person nach vergleichba­rem Aufenthalt verlangt werden kann. Zweifellos wäre die Beschwerde­führe­rin durch eine Nichterneuerung ihrer Aufenthaltsbewilli­gung empfindlich in ihren persönlichen Verhältnissen beeinträchtigt. Das ge­nügt jedoch im Lichte des oben erläuterten strengen Beurteilungsmass­stabs klarerweise nicht, um für sich alleine eine hinrei­chend schwere Beeinträchtigung in den persönlichen Verhältnissen zu be­gründen.</w:t>
      </w:r>
    </w:p>
    <w:p>
      <w:r>
        <w:rPr>
          <w:b/>
        </w:rPr>
        <w:t>E. 7.3</w:t>
      </w:r>
    </w:p>
    <w:p>
      <w:r>
        <w:t>Die Beschwerdeführerin hat ihr Heimatland erst im Alter von 27 Jah­ren verlassen und ist mit den dortigen Verhältnissen deshalb bestens ver­traut. In Marokko leben nicht nur ihre engsten Familienangehörigen; es kann mit Fug davon ausgegangen werden, dass sie dort über das famili­äre Umfeld hinaus auf vielfache Art vernetzt ist. Den eigenen Angaben und denjenigen ihrer Gastgeberin im Visumverfahren nach zu schliessen verfügt sie über eine abgeschlossene Schulausbildung und ist von Beruf Schneiderin. Aus dem Bericht der behandelnden Psychiaterin vom 7. März 2008 (dazu später) geht zusätzlich hervor, dass sie in ihrer Heimat­stadt ein Gymnasium besuchte, welches sie mit einem "baccalau­réat" abschloss, später eine kaufmännische Ausbildung absolvierte und mit einer Ausbildung in Informatik ergänzte. Bereits vor der Einreise sprach sie Französisch und Englisch. Während ihres Aufenthaltes in der Schweiz erwarb sie zusätzlich Deutschkenntnisse. Darüber hinaus konnte sie berufliche Erfahrungen sammeln; unter anderem in der Hotellerie. Es kann deshalb angenommen werden, dass die von Drittpersonen als intelli­gent bezeichnete Beschwerdeführerin mit ihren Qualifikationen eine Erwerbsauskommen finden kann, wie es unzählige andere Frauen in Ma­rokko auch tun. Begünstigt wird eine solche Perspektive durch die Tatsa­che, dass Marokko das arabische Land ist, dass über die fortschrittlichste Gesetzgebung in Bezug auf die gesellschaftliche Stellung der Frau ver­fügt. Auch wenn die gesellschaftliche Realität bei der Umsetzung der gesetz­lichen Vorgaben noch Defizite aufweist, so sind in den letzten Jah­ren doch beachtliche Fortschritte erzielt worden (vgl. dazu ausführlich: Free­dom House, Women's Rights in the Middle East and North Africa: Pro­gress and Resistance, 2010, Kapitel zu Marokko, in: http://freedomhouse.org &gt; Publications &gt; Women's Rights Survey &gt; Edi­tion: 2010 &gt; Morocco, abgerufen am 06.05.2011.). Von daher ist auf den ersten Blick nicht ersichtlich, inwiefern einer Wiedereingliederung der Be­schwerdeführerin in ihrem Heimatland ernsthafte Erschwernisse oder gar Hindernisse entgegenstehen könnten.</w:t>
      </w:r>
    </w:p>
    <w:p>
      <w:r>
        <w:rPr>
          <w:b/>
        </w:rPr>
        <w:t>E. 7.4</w:t>
      </w:r>
    </w:p>
    <w:p>
      <w:r>
        <w:t>Die Beschwerdeführerin streitet nicht ab, dass Marokko - was die Stellung der Frauen angeht - vergleichsweise fortschrittlich ist. Sie beruft sich jedoch darauf, dass ihre eigene Herkunftsfamilie und die Gegend, aus der sie stamme, immer noch den tradierten Vorstellungen über die angemessene Rolle einer Frau verpflichtet seien. Ihre Familie habe die Heirat mit einem Europäer missbilligt und noch mehr die nachfolgende Scheidung, die als Schande für die Familie betrachtet werde. Eine Schande für die Familie sei es auch, dass sie selbständig im eigenen Haushalt lebe und sich frei in ihrer Umgebung bewege. All dies habe ihr die Familie bei Besuchen in Marokko zu verstehen gegeben und sie wie eine Fremde behandelt. Andererseits würde es ihre Verwandtschaft nicht akzeptieren und es auch nicht zulassen, wollte sie in einer liberaleren Grossstadt - z.B. Casablanca - Fuss fassen, ganz abgesehen davon, dass sie dort auch kein Auskommen hätte. Da sie mit diesem Vorleben und aufgrund ihres Alters keine Aussichten auf eine Wiederverheiratung hätte, könnte sie im Sinne der einzigen ihr noch verbleibenden Lebensperspektive versuchen, bei Verwandten Unterschlupf zu finden, d.h. bei Leuten, die bereit wären, sie als überzählige "Mitesserin" gegen innerhäusliche Hilfsdienste bei sich aufzunehmen. Sie wäre diesen "Gastgebern" schutzlos ausgeliefert. In Marokko erwarte sie ein Leben als "Haussklavin". Gerade ihre Anpassung an Schweizer Sitten und Lebensweisen hätten wesentlich dazu beigetragen, dass sie von ihrer Familie verachtet und geächtet werde. Es wäre stossend, wenn sie aus der Schweiz weggewiesen würde und als Folge ihrer gelungenen Integration in der Schweiz in ihrer Heimat ein menschenunwürdiges Leben führen müsste.</w:t>
      </w:r>
    </w:p>
    <w:p>
      <w:r>
        <w:rPr>
          <w:b/>
        </w:rPr>
        <w:t>E. 7.5</w:t>
      </w:r>
    </w:p>
    <w:p>
      <w:r>
        <w:t>Dieser Darstellung kann nicht gefolgt werden. Sie ist vorurteilsbehaftet, unsubstantiiert und unvereinbar mit der Aktenlage. Gegen den Wahrheitsgehalt der Vorbringen spricht, dass der Beschwerdeführerin von Seiten ihrer Familie eine überdurchschnittliche schulische und berufliche Ausbildung ermöglicht wurde, was für traditionalistische Kreise sehr ungewöhnlich wäre. Ihre Familie mied auch nicht den Kontakt mit Ausländern, wie es im Falle von Traditionalisten zu erwarten wäre, sondern beherbergte im Gegenteil in ihrem Haus regelmässig ausländische Touristen und "gefährdete" so ihre Lebensart. Bei einer solchen Gelegenheit entwickelte sich denn auch die Bekanntschaft mit einer Schweizerin, welche die Beschwerdeführerin in die Schweiz einlud. Eindeutig gegen den Wahrheitsgehalt ihrer Ausführungen spricht, dass sie durch ihre Familie nicht daran gehindert wurde, alleine zu einem Besuchsaufenthalt in die Schweiz zu reisen, und dies trotz ihrer Herkunft, in der es ihrer eigenen Darstellung nach nicht toleriert wird, wenn sich eine Frau alleine in der Öffentlichkeit bewegt. Dass die Beschwerdeführerin hier innert kürzester Zeit einen Ehepartner gefunden hatte - knapp drei Monate nach der Einreise stellte sich bereits ein Gesuch um Bewilligung des Aufenthaltes zwecks Ehevorbereitung -, deutet ebenfalls nicht auf eine Lebensgeschichte, die bis dahin von traditionellen Normen geprägt gewesen wäre. Wäre dem so, hätte sich die Beschwerdeführerin innerlich kaum so rasch von diesem, ihr ganzes bisheriges Leben bestimmenden Korsett befreien können. Dagegen spricht des weiteren, dass die Familie die Heirat nicht verhindern konnte oder wollte, obwohl davon auszugehen ist, dass der Ehemann der Beschwerdeführerin nicht muslimischer Glaubenszugehörigkeit war. Weiter ist darauf hinzuweisen, dass die Beschwerdeführerin trotz der angeblich missbilligten Ehe und trotz der noch mehr missbilligten Scheidung weiterhin Besuchskontakte zur Familie hatte. Diese hinderte sie nicht an der Rückkehr in die Schweiz, obwohl es nach Darstellung der Beschwerdeführerin ihre Lebensweise in der Schweiz war, welche Schande über ihre Familie brachte. Schliesslich bleibt zu vermerken, dass die Beschwerdeführerin die angebliche Ächtung durch ihre eigene Familie ohne stichhaltigen Grund erstmals in der Beschwerdeschrift ins Verfahren einbringt und sich so dem Verdacht des Nachschiebens wirklichkeitsferner Sachverhaltsbehauptungen aussetzt.</w:t>
      </w:r>
    </w:p>
    <w:p>
      <w:r>
        <w:rPr>
          <w:b/>
        </w:rPr>
        <w:t>E. 7.6</w:t>
      </w:r>
    </w:p>
    <w:p>
      <w:r>
        <w:t>Im Rahmen des Beschwerdeverfahrens führte die Beschwerdeführerin erstmals gesundheitliche Gründe ins Feld und reichte dazu zwei durch Dr. med. C._______, FMH Psychiatrie und Psychotherapie, verfasste Berichte ein, datiert vom 7. März 2008 und 7. März 2011.</w:t>
      </w:r>
    </w:p>
    <w:p>
      <w:r>
        <w:rPr>
          <w:b/>
        </w:rPr>
        <w:t>E. 7.6.1</w:t>
      </w:r>
    </w:p>
    <w:p>
      <w:r>
        <w:t>Die ärztlichen Berichte diagnostizieren bei der Beschwerdeführerin eine posttraumatische Belastungsstörung (ICD F 43.1) und stellen diese in kausalen Zusammenhang mit gewalttätigen und sexuellen Übergriffen eines psychisch gestörten, älteren Bruders, denen sie bis zum 13. Lebensjahr ausgesetzt gewesen sei (Bericht vom 7. März 2008), und/oder ihrer Position als "Haussklavin" bei ihrer Familie (Bericht vom 7. März 2011). Der Bruder, der bei der Familie lebe, sei zwar nach einem Suizidversuch gehbehindert und könne ihr schon aus physischen Gründen nichts antun. Er sei jedoch nach wie vor verbal ausfällig. Die Perspektive, nach Marokko zurückkehren zu müssen, wo sie nach ihrem Empfinden unausweichlich wieder mit ihrer Familie zusammenleben müsste, habe diese traumatische Vorgeschichte aktualisiert und zu einer Symptomatik von Schlafstörungen, Alpträumen, einschliessenden Erinnerungen am Tag, depressiver Stimmung, kognitiver Einengung und latenter Suizidalität geführt. Es müsse davon ausgegangen werden, dass sich die Suizidalität zuspitzen werde, sollte tatsächlich eine Ausweisung erfolgen. Voraussetzung für eine Behandlung sei, dass die Beschwerdeführerin einen sicheren Aufenthaltsstatus behalte, der sie davor schütze, sich der traumatisch erlebten Situation erneut auszusetzen. Erst dann könnten psychotherapeutische Massnahmen wirksam werden, während man in der aktuellen Situation die Beschwerdeführerin lediglich stützend und medikamentös behandeln könne. Gestützt auf diese Berichte macht die Beschwerdeführerin geltend, eine Rückführung nach Marokko würde für sie nicht nur eine ausserordentliche Härte darstellen. Eine Rückführung würde sie der grossen Gefahr einer Retraumatisierung und massiven Verschlimmerung ihrer Krankheit aussetzen. Die Verschlechterung des Zustandes bis hin zur akuten Suizidalität könnte auch durch psychiatrische Behandlung nicht verhindert werden.</w:t>
      </w:r>
    </w:p>
    <w:p>
      <w:r>
        <w:rPr>
          <w:b/>
        </w:rPr>
        <w:t>E. 7.6.2</w:t>
      </w:r>
    </w:p>
    <w:p>
      <w:r>
        <w:t>Die Vorbringen überzeugen nicht (zu den Qualitätsanforderungen an medizinische Parteigutachten vgl. BGE 125 V 351 E. 3.a S. 352). Zum ei­nen ist zu bemerken, dass die Erstdiagnose einer posttraumatischen Be­lastungsstörung ungewöhnlich rasch gestellt wurde, nämlich elf Tage nach der Erstkonsultation, wobei sich keiner der beiden Berichte zur An­zahl und Dauer der Sitzungen äussert, die dem schwer wiegenden Be­fund zu Grunde liegen, oder die angewandten objektivierenden Verfahren offenlegt. Das wiegt umso schwerer, als die Diagnose einer posttraumati­schen Belastungsstörung zwangsläufig auf den Schilderungen der Be­schwerdeführerin beruhen musste und die Beschwerdeführerin ohne objek­tiv überprüfbare Krankengeschichte in einer Situation erstmals psychi­atrische Hilfe in Anspruch nahm, in der ihr die Diagnose Vorteile im Hinblick auf ihren weiteren Verbleib in der Schweiz versprach. Auffällig ist des weiteren, dass die beiden Berichte voneinander abweichen. Während im ersten Bericht die posttraumatische Belastungsstörung mit den Miss­handlungen durch einen Bruder während der Kindheit begründet wird, wird dieser Umstand im zweiten Bericht gar nicht erst erwähnt. Dort wird die nach wie vor anhaltende Symptomatik auf die Befürchtung der Be­schwerdeführerin zurückgeführt, im Falle einer Rückkehr von ihrer Grossfa­milie wieder in die gleichen Lebensumstände wie vor der Ausreise zurückgedrängt zu werden, nämlich in die Position einer "Haussklavin". Dass die Beschwerdeführerin vor ihrer Ausreise als "Haussklavin" ausge­nützt worden wäre, davon war zuvor nie die Rede, namentlich auch nicht im ersten Bericht. Dort wurde ausgeführt, dass der Beschwerdeführerin nach eigener Überzeugung in Marokko keine andere Lebensperspektive verbleibe, als bei ihrer Mutter und ihrem Bruder zu leben, d.h. im Kreise der engsten Familie, oder als eine Art "Haussklavin" bei anderen Verwandten unterzukommen. Schliesslich bleibt festzustellen, dass die ei­genanamnestischen Angaben der Beschwerdeführerin an denselben Ungereimtheiten leiden, auf die bereits weiter oben im Zusammenhang mit dem behaupteten traditionalistischen Umfeld hingewiesen wurde. Anzu­fügen ist, dass die Beschwerdeführerin ihre Familie in Marokko wiederholt besuchte, wie sich aus bei den Akten liegenden Rückreisevisa und ihren eigenen Angaben ergibt. Das lässt sich schwerlich mit dem behaupte­ten Krankheitsbild vereinbaren.</w:t>
      </w:r>
    </w:p>
    <w:p>
      <w:r>
        <w:rPr>
          <w:b/>
        </w:rPr>
        <w:t>E. 7.6.3</w:t>
      </w:r>
    </w:p>
    <w:p>
      <w:r>
        <w:t>Damit soll nicht zum Ausdruck gebracht werden, dass die Be­schwerdeführerin nicht an psychischen Beschwerden leidet. Das Bundesverwaltungsgericht ist jedoch der Überzeugung, dass diese psychischen Leiden weniger auf eine Traumatisierung im Heimatland zurückzuführen sind als vielmehr auf den drohenden Verlust einer Lebensperspektive hier in der Schweiz. Dass Personen in einer solchen Konstellation je nach Veranlagung Depressionen mit suizidalen Gedanken entwickeln können, ist bekannt. Bekannt ist aber auch, dass Drohungen mit Suizid auch einen neurotisch-manipulativen Aspekt haben können. Unbesehen der Frage der Ernsthaftigkeit kann und muss allfälligen Risiken durch medizinische Begleitung des Vollzugs Rechnung getragen werden (vgl. dazu EMARK 2005 Nr. 23 E. 5.1 S. 212 mit dem Hinweis auf den Unzulässigkeitsentscheid des Europäischen Gerichtshofs für Menschenrechte [EGMR] vom 7. Oktober 2004 i. S. Dragan et al. gegen Deutschland, Nr. 33743/03). Sollte die Beschwerdeführerin nach ihrer Rückkehr in Marokko auf medizinische Betreuung angewiesen sein, so ist kein Grund ersichtlich, weshalb sie nicht in der Lage sein sollte, das dortige Gesundheitssystem in Anspruch zu nehmen. Die Vorinstanz weist in diesem Zusammenhang unwidersprochen darauf hin, dass das Gesundheitswesen in Marokko vergleichsweise gut aufgebaut ist. Es gibt im ganzen Land sieben autonome Psychiatriespitäler. Hinzu kommen psychiatrische Abteilungen in Provinzspitälern. Nach den Erkenntnissen des Bundesverwaltungsgerichts verfügt auch der Heimatort der Beschwerdeführerin über ein Provinzspital mit einer solchen psychiatrischer Abteilung. Abschliessend ist deshalb festzuhalten, dass der gesundheitliche Zustand der Beschwerdeführerin die Interessenabwägung im Zusammenhang mit dem Zustimmungsentscheid nicht beeinflussen kann.</w:t>
      </w:r>
    </w:p>
    <w:p>
      <w:r>
        <w:rPr>
          <w:b/>
        </w:rPr>
        <w:t>E. 8</w:t>
      </w:r>
    </w:p>
    <w:p>
      <w:r>
        <w:t>Zusammenfassend ergibt sich, dass die Beschwerdeführerin durch den Verlust des Aufenthaltsrechts in der Schweiz zwar empfindlich in ih­ren persönlichen Verhältnissen getroffen wird. Der Eingriff kann je­doch nicht als derart schwer angesehen werden, dass dem privaten In­teresse an der weiteren Regelung des Aufenthaltes gegenüber dem öf­fentlichen Interesse an der Durchsetzung der restriktiven Migrationspolitik - Personen aus dem Nicht-EFTA/EU-Raum betreffend - im Rahmen einer pflichtgemässen Ermessensausübung und auf der Grund­lage des zur Anwendung gelangenden strengen Beurteilungs­massstabs Vorrang eingeräumt werden könnte. Die Ver­weigerung der Zustimmung durch die Vorinstanz ist daher nicht zu beanstan­den.</w:t>
      </w:r>
    </w:p>
    <w:p>
      <w:r>
        <w:rPr>
          <w:b/>
        </w:rPr>
        <w:t>E. 9</w:t>
      </w:r>
    </w:p>
    <w:p>
      <w:r>
        <w:t>Aus der Rechtmässigkeit der Zustimmungsverweigerung folgt ohne weiteres die Rechtmässigkeit der Wegweisung aus der Schweiz (vgl. Art. 12 Abs. 3 ANAG), und es bliebe zu prüfen, ob dem Wegwei­sungsvollzug Hindernisse im Sinne von Art. 14a ANAG entgegenstehen. Nachdem jedoch die gesundheitliche Situation der Beschwerdeführerin als das einzige in Betracht fallende Vollzugshindernis (vgl. dazu etwa das Urteil des Bundes­verwaltungsgerichts C-2276/2007 vom 24. November 2007 E. 8 mit Hinweisen) bereits weiter oben ausführlich behandelt und abschlägig beurteilt wurde, ist die angefoch­tene Verfügung auch unter diesem Gesichtspunkt zu Recht ergangen.</w:t>
      </w:r>
    </w:p>
    <w:p>
      <w:r>
        <w:rPr>
          <w:b/>
        </w:rPr>
        <w:t>E. 10</w:t>
      </w:r>
    </w:p>
    <w:p>
      <w:r>
        <w:t>Abschliessend ist festzuhalten, dass die angefochtene Verfügung im Lichte von Art. 49 VwVG nicht zu beanstanden ist. Die Beschwerde ist deshalb abzuweisen.</w:t>
      </w:r>
    </w:p>
    <w:p>
      <w:r>
        <w:rPr>
          <w:b/>
        </w:rPr>
        <w:t>E. 11</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w:t>
      </w:r>
    </w:p>
    <w:p>
      <w:r>
        <w:rPr>
          <w:b/>
        </w:rPr>
        <w:t>E. 12</w:t>
      </w:r>
    </w:p>
    <w:p>
      <w:r>
        <w:t>Das vorliegende Urteil ist endgültig (Art. 83 Bst. c Ziff. 2 und Ziff. 4 des Bundesgerichtsgesetzes vom 17. Juni 2005 [BGG, SR 173.110]).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