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C-1953/2010 vom 19. Oktober 2012</w:t>
      </w:r>
    </w:p>
    <w:p>
      <w:r>
        <w:t>Bundesverwaltungsgericht, 2012-10-19, DE</w:t>
      </w:r>
    </w:p>
    <w:p>
      <w:r>
        <w:rPr>
          <w:b/>
        </w:rPr>
        <w:t xml:space="preserve">Quelle: </w:t>
      </w:r>
      <w:r>
        <w:t>https://mcp.opencaselaw.ch/entscheid/bvger_C-1953_2010</w:t>
      </w:r>
    </w:p>
    <w:p>
      <w:r>
        <w:t>FR: TAF C-1953/2010 du 19 octobre 2012</w:t>
      </w:r>
    </w:p>
    <w:p>
      <w:r>
        <w:t>IT: TAF C-1953/2010 del 19 ottobre 2012</w:t>
      </w:r>
    </w:p>
    <w:p>
      <w:pPr>
        <w:pStyle w:val="Heading2"/>
      </w:pPr>
      <w:r>
        <w:t>Regeste</w:t>
      </w:r>
    </w:p>
    <w:p>
      <w:r>
        <w:t>Rentenrevision</w:t>
      </w:r>
    </w:p>
    <w:p>
      <w:pPr>
        <w:pStyle w:val="Heading2"/>
      </w:pPr>
      <w:r>
        <w:t>Erwägungen</w:t>
      </w:r>
    </w:p>
    <w:p>
      <w:r>
        <w:rPr>
          <w:b/>
        </w:rPr>
        <w:t>E. 1</w:t>
      </w:r>
    </w:p>
    <w:p>
      <w:r>
        <w:t>Die Beschwerde wird insoweit gutgeheissen, als die Verfügung vom 13. Juli 2009 aufgehoben und die Sache an die Vorinstanz zurückgewiesen wird, damit diese nach erfolgter Abklärung im Sinne der Erwägungen über den Leistungsanspruch neu verfüge.</w:t>
      </w:r>
    </w:p>
    <w:p>
      <w:r>
        <w:rPr>
          <w:b/>
        </w:rPr>
        <w:t>E. 2</w:t>
      </w:r>
    </w:p>
    <w:p>
      <w:r>
        <w:t>Die im Beschwerdeverfahren eingereichten Arztberichte und Beschlüsse des serbischen Sozialversicherungsträgers sind der Vorinstanz zur Berücksichtigung im Verwaltungsverfahren zuzustellen.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(Gerichtsurkunde) - die Vorinstanz (Ref-Nr. [...]; Einschreiben; Beilagen im Doppel: Eingabe vom 9. Februar 2011 inkl. Beilagen und Übersetzungen [act. 27, 27.1-8, 29.1-8], Eingabe vom 2. März 2011 inkl. Übersetzung [act. 32 f.] und Beilagen [act. 32.1-4], Eingabe vom 8. November 2011 inkl. Beilagen [act. 36 und 36.1-3], Eingabe vom 23. Dezember 2011 [act. 38], Eingabe vom 11. Mai 2012 inkl. Beilagen [act. 42 und 42.2-4])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