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C-1953/2009 vom 8. Februar 2010</w:t>
      </w:r>
    </w:p>
    <w:p>
      <w:r>
        <w:t>Bundesverwaltungsgericht, 2010-02-08, FR</w:t>
      </w:r>
    </w:p>
    <w:p>
      <w:r>
        <w:rPr>
          <w:b/>
        </w:rPr>
        <w:t xml:space="preserve">Quelle: </w:t>
      </w:r>
      <w:r>
        <w:t>https://mcp.opencaselaw.ch/entscheid/bvger_C-1953_2009</w:t>
      </w:r>
    </w:p>
    <w:p>
      <w:r>
        <w:t>FR: TAF C-1953/2009 du 8 février 2010</w:t>
      </w:r>
    </w:p>
    <w:p>
      <w:r>
        <w:t>IT: TAF C-1953/2009 del 8 febbraio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A moins que la LTAF n'en dispose autrement, la procédure devant le TAF est régie par la PA (cf. art. 37 LTAF).</w:t>
      </w:r>
    </w:p>
    <w:p>
      <w:r>
        <w:rPr>
          <w:b/>
        </w:rPr>
        <w:t>E. 1.4</w:t>
      </w:r>
    </w:p>
    <w:p>
      <w:r>
        <w:t>A._______ a qualité pour recourir (art. 48 al. 1 PA). Présenté dans la forme et les délais prescrits par la loi, son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cf. ATF 127 I 133 consid. 6). Dans la mesure où la demande de réexamen est un moyen de droit extraordinaire, elle ne doit pas servir à remettre continuellement en question des décisions entrées en force, ni surtout à éluder les dispositions légales sur les délais de recours (ATF 127 I précité, 120 Ib 42 consid. 2b; JAAC 63.45 consid. 3a in fine; arrêt du Tribunal fédéral 2A.20/2004 du 7 avril 2004; GRISEL, op. cit., vol. II, p. 948). Aussi sa recevabilité est-elle soumise à des conditions bien déterminées. En dehors des causes légales de révision (art. 66 PA, art. 121 et 123 LTF, correspondant pour l'essentiel aux articles 136 et 137 de l'ancienne loi fédérale du 16 décembre 1943 sur l'organisation judiciaire [OJ, RO 1992 288], l'autorité administrative n'est tenue de se saisir d'une demande de réexamen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(cf. ATF 127 I précité, 124 II 1 consid. 3a; Semaine judiciaire 2004 I p. 393 consid. 2;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w:t>
      </w:r>
    </w:p>
    <w:p>
      <w:r>
        <w:rPr>
          <w:b/>
        </w:rPr>
        <w:t>E. 2.2</w:t>
      </w:r>
    </w:p>
    <w:p>
      <w:r>
        <w:t>Selon la pratique en vigueur en matière de révision, applicable par analogie à l'institution du réexamen (cf. URSINA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op. cit. p. 156ss; BLAISE KNAPP, Précis de droit administratif, Bâle/Francfort-sur-le-Main 1991, p. 276; FRITZ GYGI, Bundesverwaltungsrechtspflege, Berne 1983, p. 262s.; JEAN-FRANÇOIS POUDRET, Commentaire de la loi fédérale d'organisation judiciaire, vol. V, Berne 1992, p. 18, 27ss et 32ss).</w:t>
      </w:r>
    </w:p>
    <w:p>
      <w:r>
        <w:rPr>
          <w:b/>
        </w:rPr>
        <w:t>E. 2.3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113 Ia 146 consid. 3c; 109 Ib 246 consid. 4a; JAAC 45.68, voir également arrêt du Tribunal fédéral 2C_38/2008 du 2 mai 2008 consid. 2.2; Grisel, op. cit., vol. II, p. 949s. ; Kölz/Häner, op. cit., p. 164). Les conclusions du recourant (soit "l'objet du litige" ou "Streitgegenstand") sont donc limitées par les questions tranchées dans le dispositif de la décision querellée (soit "l'objet de la contestation" ou "Anfechtungsgegenstand"; cf. ATF 134 V 418 consid. 5.2.1). Celles qui en sortent, en particulier les questions portant sur le fond de l'affaire, ne sont pas recevables (cf. ATF 135 II 38 consid. 1.2; 125 V 413 consid. 1; Kölz/Häner, op. cit., p. 148ss ; Gygi, op. cit., p. 44ss ; Poudret, op. cit., p. 8s., n. 2.2 ; Pierre Moor, Droit administratif, vol. II : Les actes administratifs et leur contrôle, Berne 1991, p. 438, 444 et 446s).</w:t>
      </w:r>
    </w:p>
    <w:p>
      <w:r>
        <w:rPr>
          <w:b/>
        </w:rPr>
        <w:t>E. 3</w:t>
      </w:r>
    </w:p>
    <w:p>
      <w:r>
        <w:t>En l'espèce, la recourante a fondé sa demande de réexamen sur l'affirmation que l'ODM avait mal apprécié sa situation matrimoniale pour prononcer sa décision d'annulation de la naturalisation facilitée du 18 novembre 2008, tout en soulignant n'avoir pas pu contester cette décision par la voie ordinaire du recours en raison du refus tardif de son précédent mandataire de défendre ses intérêts.</w:t>
      </w:r>
    </w:p>
    <w:p>
      <w:r>
        <w:rPr>
          <w:b/>
        </w:rPr>
        <w:t>E. 4</w:t>
      </w:r>
    </w:p>
    <w:p>
      <w:r>
        <w:t>Le Tribunal relève d'abord que A._______ n'a pas recouru contre la décision de l'ODM du 18 novembre 2008, alors qu'elle ne se prévaut d'aucun obstacle qui aurait rendu impossible le respect du délai dont elle disposait pour contester ce prononcé. En effet, nonobstant l'argument allégué à ce propos, selon lequel son précédent mandataire n'avait pas voulu recourir en son nom contre la décision précitée, il s'impose de constater que l'intéressée avait, à ce moment là, toujours la possibilité, eu égard aux féries de l'art. 22a al. 1 let. c PA, de former recours contre la décision précitée, ce dont le Tribunal l'avait dûment informée le 24 décembre 2008. Dans ces circonstances, la recourante est mal fondée à se prévaloir de son propre manque de diligence à recourir contre la décision du 18 novembre 2008, les explications qu'elle a fournies à ce sujet - soit son prétendu manque de compréhension du courrier du Tribunal du 24 décembre 2008 - n'étant guère crédibles, s'agissant d'une personne ayant requis et obtenu la nationalité suisse et originaire au surplus d'un pays où la langue française est d'usage courant. Il apparaît ainsi que la demande de réexamen déposée le 3 mars 2009 vise en fait à remédier à la négligence de la recourante à utiliser la voie de recours qu'elle avait à sa disposition pour contester le prononcé du 18 novembre 2008. Or, comme relevé précédemment, la procédure extraordinaire (de révision ou de réexamen) ne saurait servir de prétexte pour remettre en question des décisions entrées en force, ni surtout à éluder les dispositions légales sur les délais de recours. Le Tribunal constate, par surabondance, que dans la procédure extraordinaire qu'elle a introduite le 3 mars 2009, la recourante n'a au demeurant allégué aucun fait nouveau, ni produit de nouveau moyen de preuve déterminant, mais qu'elle a seulement requis de l'ODM qu'il procède à une nouvelle appréciation de faits déjà connus en procédure ordinaire, ce qu'exclut précisément la procédure de réexamen (cf. à cet égard la jurisprudence et la doctrine citées au consid. 2.2 du présent arrêt). En conséquence, les éléments avancés par la recourante à l'appui de sa demande de réexamen sont dépourvus de toute pertinence et c'est donc à bon droit que l'ODM a refusé d'entrer en matière sur cette requête.</w:t>
      </w:r>
    </w:p>
    <w:p>
      <w:r>
        <w:rPr>
          <w:b/>
        </w:rPr>
        <w:t>E. 5</w:t>
      </w:r>
    </w:p>
    <w:p>
      <w:r>
        <w:t>Il ressort de ce qui précède que la décision du 12 mars 2009 est conforme au droit. Le recours, manifestement mal fondé, est en conséquence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