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C-1949/2010 vom 16. März 2012</w:t>
      </w:r>
    </w:p>
    <w:p>
      <w:r>
        <w:t>Bundesverwaltungsgericht, 2012-03-16, FR</w:t>
      </w:r>
    </w:p>
    <w:p>
      <w:r>
        <w:rPr>
          <w:b/>
        </w:rPr>
        <w:t xml:space="preserve">Quelle: </w:t>
      </w:r>
      <w:r>
        <w:t>https://mcp.opencaselaw.ch/entscheid/bvger_C-1949_2010</w:t>
      </w:r>
    </w:p>
    <w:p>
      <w:r>
        <w:t>FR: TAF C-1949/2010 du 16 mars 2012</w:t>
      </w:r>
    </w:p>
    <w:p>
      <w:r>
        <w:t>IT: TAF C-1949/2010 del 16 marzo 2012</w:t>
      </w:r>
    </w:p>
    <w:p>
      <w:pPr>
        <w:pStyle w:val="Heading2"/>
      </w:pPr>
      <w:r>
        <w:t>Regeste</w:t>
      </w:r>
    </w:p>
    <w:p>
      <w:r>
        <w:t>Révision de la rente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Le droit applicable au fond est déterminé par les règles en vigueur au moment où les faits juridiquement déterminants se sont produits (ATF 136 V 24 consid. 4.3). Selon la jurisprudence, le juge n'a pas à prendre en considération les modifications du droit ou de l'état de fait postérieures à la date déterminante de la décision litigieuse (ATF 129 V 1 consid. 1.2; ATF I 274/05 du 21 mars 2006 consid. 1.1). La décision entreprise ayant été rendue le 19 février 2010, le droit éventuel à des prestations de l'assurance-invalidité doit être examiné en fonction et des modifications de la LAI consécutives à l'entrée en vigueur le 1er janvier 2008, de la 5e révision de cette loi (RO 2007 p. 5147). Ne sont en revanche pas applicables les dispositions de la 6e révision (premier volet) en vigueur dès le 1er janvier 2012 (RO 2011 5659, FF 2010 1647).</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L'al. 2 a été introduit lors de la 5e révision. Cette disposition précise que seules les conséquences de l'atteinte à la santé sont prises en compte pour juger de la présence d'une incapacité de gain et qu'il n'y a incapacité de gain que si celle-ci n'est pas objectivement surmontable.</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 al. 2 depuis le 1er janvier 2008). Jusqu'au 31 décembre 2003, le droit à la rente entière était donné avec un taux d'invalidité de 66,67%, la demi-rente avec un taux d'invalidité de 50% au moins et le quart de rente avec un taux de 40%.</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133 V 545 consid. 6.1; ATF 130 V 343 consid. 3.5). Une simple appréciation différente d'un état de fait qui, pour l'essentiel, est demeuré inchangé, n'appelle en revanche pas à une révision au sens de l'art. 17 LPGA (arrêt du Tribunal fédéral 9C_181/2011 du 9 décembre 2011 consid. 6.1; ATF 112 V 371 consid. 2b).</w:t>
      </w:r>
    </w:p>
    <w:p>
      <w:r>
        <w:rPr>
          <w:b/>
        </w:rPr>
        <w:t>E. 5.2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en principe, au plus tôt, le premier jour du deuxième mois qui suit la notification de la décision, ce n'est qu'exceptionnellement qu'elle prend effet rétroactivement.</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133 V 108 consid. 5.4). Cet examen matériel du droit à la rente doit comprendre une clarification des faits, une appréciation des preuves et une comparaison des revenus qui soient conformes au droit (arrêt du Tribunal fédéral 9C_207/2009 du 16 avril 2010 consid. 3). Lorsqu'une révision de rente se conclut sans aucune modification du droit à la rente et que l'office AI choisit la voie de la simple communication de ce résultat sur la base de l'art. 74ter let. f RAI, il faut se référer - pour la comparaison de la situation de fait lors de la révision suivante - à la situation à la base de cette communication. Lorsqu'une décision n'a pas été requise, une telle communication est à considérer comme une décision entrée en force pour ce qui est du moment de la comparaison (arrêt du Tribunal fédéral 9C_46/2009 du 14 août 2009 consid. 3.1).</w:t>
      </w:r>
    </w:p>
    <w:p>
      <w:r>
        <w:rPr>
          <w:b/>
        </w:rPr>
        <w:t>E. 6.2</w:t>
      </w:r>
    </w:p>
    <w:p>
      <w:r>
        <w:t>Dans le cas concret, le point de départ temporel pour l'examen d'une éventuelle modification du degré d'invalidité au sens de l'art. 17 LPGA n'est pas clairement fixé par l'autorité. Toutefois, il n'est jamais fait mention de la situation telle qu'elle ressortait en 2004, au moment de la première révision de la rente, si bien que l'on peut en déduire que l'autorité se fonde sur la situation telle qu'elle existait au moment de la première décision en 1998. Il convient néanmoins de relever que la communication du 2 juin 2004, aux termes de laquelle la recourante continuait à bénéficier d'une rente entière d'invalidité, repose sur une évaluation matérielle de sa situation qui comprenait, outre une expertise E213 et une appréciation d'une physiothérapeute, un prise de position de deux médecins orthopédistes et un certificat médical d'un psychiatre. Il s'en suit que la date de référence pour l'examen d'une éventuelle modification du degré d'invalidité au sens de l'art. 17 LPGA est celle du 2 juin 2004.</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7.2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Pour comprendre les diagnostics posés au point de départ temporel déterminant pour la comparaison des faits, soit 2004 - il se justifie d'expliquer la situation médicale telle qu'elle se présentait en septembre 1998 au moment de l'octroi de la rente entière. Il subsistait à cette époque un doute quant au diagnostic. En effet, une IRM de l'épaule droit pratiquée en août 1998 a mis en évidence une éventuelle rupture du sous-scapulaire que ni les examens initiaux, ni les deux interventions chirurgicales du Dr G._______ n'avaient relevée (pces SUVA 59, 60 et 70). De surcroît une scintigraphie effectuée également en août 1998 a montré une hyperactivité diffuse évocatrice d'une algoneurodystrophie (pces SUVA 57-58) laquelle avait été exclue en 1996 avant la première opération (pces SUVA 21 à 24). La mobilité passive du membre supérieur droit était qualifiée de bonne mais la patiente n'utilisait pas son membre qu'elle gardait collé au corps. Une dimension psychosomatique était déjà relevée par plusieurs médecins (cf. pces SUVA 27-29, pce 10). L'OCAI-VD a octroyé une rente entière sans requérir d'instruction complémentaire, en se référant simplement au rapport de sortie de la clinique de réadaptation où l'assurée avait séjournée en 1997 (cf. pce 13), soit avant la seconde opération de 1998, contrairement à l'assureur-accident qui a poursuivi ses investigations pour tenter de comprendre la disproportion entre les plaintes de la patiente et les observations cliniques. En conclusion de ce rapport, les Drs C._______ et D._______ estimaient la patiente totalement inapte au travail jusqu'à la prochaine visite de contrôle chez le médecin. La décision revêtait le code infirmité 938, correspondant à "autres altérations des os et des organes du mouvement (ligaments, muscles et tendons)" consécutives à un accident. Ainsi la décision de rente se fondait essentiellement sur des motifs d'ordre somatique, la surcharge psychique étant relevée sans qu'elle semble déterminante dans le prononcé de l'OCAI-VD.</w:t>
      </w:r>
    </w:p>
    <w:p>
      <w:r>
        <w:rPr>
          <w:b/>
        </w:rPr>
        <w:t>E. 8.2</w:t>
      </w:r>
    </w:p>
    <w:p>
      <w:r>
        <w:t>Dans la procédure de révision engagée en 1999 qui a mené à la communication du 2 juin 2004, date de départ déterminante en l'espèce pour la comparaison des faits, les documents médicaux versés en cause font état d'une situation qui n'a pas évolué bien que les diagnostics posés ne le soient pas dans les mêmes termes qu'en 1998, en dehors de l'algodystrophie (pce 51). L'immobilisation du membre supérieur droit est qualifiée de pseudo-parésie par le Dr N._______ qui observe une composante psychique évidente (pce 50). Le psychiatre consulté se détermine en faveur d'un trouble somatoforme douloureux qui réduirait la capacité de travail de 25% (pce 52). Quant aux observations de la physiothérapeute, faute pour elle de posséder la qualification requise pour procéder à une évaluation médicale (cf. arrêt du Tribunal fédéral 8C_65/2010 consid. 3.1), il n'en sera pas tenu compte. Appréciant cette documentation, le Dr P._______, médecin à l'OAIE, retient une algodystrophie et un trouble somatoforme douloureux persistant tout en concluant que l'état de santé est inchangé tant du point de vue somatique que psychique (pce 54).</w:t>
      </w:r>
    </w:p>
    <w:p>
      <w:r>
        <w:rPr>
          <w:b/>
        </w:rPr>
        <w:t>E. 8.3</w:t>
      </w:r>
    </w:p>
    <w:p>
      <w:r>
        <w:t>Dans la procédure de révision ayant donné lieu à la décision litigieuse, en dehors de l'expertise E213 qui décrit un état de santé aggravé et une incapacité de travail totale dans toute profession et du certificat du Dr N._______ qui note aussi une aggravation et la non-exigibilité de l'exercice de l'ancienne profession de nettoyeuse, les documents médicaux provenant de l'Etat de résidence de la recourante ne se prononcent pas quant à la capacité de travail résiduel. Outre une monoparésie connue du bras droit, plusieurs médecins diagnostiquent en revanche une paraparésie (pces 66, 62, 67 et 69), ce qui constitue une affection nouvelle, aucune atteinte aux membres inférieures n'ayant été relevée antérieurement. Quant à l'atteinte psychique, elle est mentionnée à plusieurs reprises (pces 65 et 69), bien que le psychiatre consulté ne diagnostique rien d'anormal (pce 68). L'expertise pluridisciplinaire du Y.______SA exigée en complément par l'OCAI-GE a été menée lege artis et en conformité avec la jurisprudence précitée, en tenant compte de l'anamnèse de la recourante, de ses habitudes, de ses plaintes subjectives et d'une observation clinique idoine. Si les troubles sensitivomoteurs du membre supérieur droit et des deux membres inférieurs sont également observés par ces experts, ceux-ci n'en décèlent pas les fondements somatiques. Le psychiatre, tout en considérant qu'il y a amélioration ensuite d'une stabilisation au niveau familial depuis son retour au Portugal, retient, en se référant à une classification internationale, un trouble somatoforme douloureux persistant léger et une personnalité dépendante. Les trois experts concluent pour leur domaine de compétence à l'exigibilité d'une activité professionnelle à plein temps qui ne sollicite pas l'épaule droite de manière excessive.</w:t>
      </w:r>
    </w:p>
    <w:p>
      <w:r>
        <w:rPr>
          <w:b/>
        </w:rPr>
        <w:t>E. 9.1</w:t>
      </w:r>
    </w:p>
    <w:p>
      <w:r>
        <w:t>La Cour de céans ne peut pas confirmer une amélioration objective de l'état de santé de la recourante. A ce propos, le fait que le Dr V._______, psychiatre au SMR, invalide de son propre chef le diagnostic posé par le psychiatre du COMAI, en ne retenant pas un trouble somatoforme douloureux persistant, n'y change rien. La recourante a toujours souffert d'atteintes à son membre supérieur droit sans constat clair de déficit organique. La dimension psychique de ses douleurs est relevée à maintes reprises dans son dossier médical. En 2004, le diagnostic de trouble somatoforme douloureux persistant était déjà formulé par un psychiatre, le Dr O._______ et repris sans réserve par le Dr P._______, médecin au SMR. L'incidence sur la capacité de travail en raison de ce syndrome n'était évaluée qu'à 25% par le Dr O._______. L'autorité inférieure n'a pas estimé nécessaire de diligenter d'autres analyses à ce moment-là, faisant siennes les conclusions de son service médical. La rente avait été octroyée à l'origine pour des raisons mixtes mais essentiellement somatiques si l'on se réfère à la documentation sur laquelle s'est fondée l'autorité inférieure en 1998 ainsi que le code infirmité retenu. L'issue de la première procédure de révision en 2004, ne fait que confirmer cet état de fait puisque malgré une atteinte à la santé psychique diminuant de 25% la capacité de travail, le droit à une rente entière était conservé.</w:t>
      </w:r>
    </w:p>
    <w:p>
      <w:r>
        <w:rPr>
          <w:b/>
        </w:rPr>
        <w:t>E. 9.2</w:t>
      </w:r>
    </w:p>
    <w:p>
      <w:r>
        <w:t>Le Dr V._______ critique les diagnostics psychiatriques retenus en 2009 par le Dr Ba._______ dans l'expertise COMAI au motif qu'ils ne sont pas posés selon les critères de l'ouvrage de référence. En outre, le Dr V._______ affirme que l'expert exclut également une comobidité significative. Or, ce terme n'est jamais utilisé par le Dr Ba._______qui relève cependant à plusieurs reprises que la recourante ne présente pas de souffrance psychique majeure et que le trouble somatoforme douloureux n'est pas caractéristique et relativement léger. Dans ce contexte, il est utile de rappeler que la jurisprudence pose des exigences à la reconnaissance d'un caractère invalidant aux maladies présentant des tableaux clinique diffus sans déficit fonctionnel organique, comme les troubles somatoformes douloureux persistants (cf. notamment ATF 130 V 352). Le caractère non-exigible de la reprise de travail suppose, en principe, la présence d'une comorbidité psychiatrique d'une acuité et d'une durée importante (cf. également Jean Pirotta, Les troubles somatoformes douloureux du point de vue de l'assurance invalidité, Revue suisse des assurances sociales et de la prévoyance professionnelle [RSAS] 2005 p. 526). Cependant, le Tribunal fédéral a aussi jugé, de manière constante, qu'il n'était pas possible de se fonder sur la jurisprudence publiée aux ATF 130 V 352 pour reconsidérer une décision prise avant cette date (ATF 135 V 215 consid. 5 et les références citées).</w:t>
      </w:r>
    </w:p>
    <w:p>
      <w:r>
        <w:rPr>
          <w:b/>
        </w:rPr>
        <w:t>E. 9.3</w:t>
      </w:r>
    </w:p>
    <w:p>
      <w:r>
        <w:t>Ainsi en l'espèce, soit la recourante souffre depuis toujours d'un syndrome somatoforme douloureux persistant et il n'y a pas lieu de lui appliquer les critères rigoureux développés aux ATF 130 V 352, soit elle est atteinte de troubles de la personnalité, telle qu'une fixation psychosomatique avec majoration de symptômes physiques pour des raisons psychiques et alors son état de santé est resté inchangé. Le Dr Ba._______ avance l'hypothèse que celui-ci se serait amélioré depuis le retour de la recourante au Portugal. Or en 2004, point de départ temporel pour la comparaison, la recourante vivait déjà dans son pays d'origine depuis 5 ans. De plus, le volet psychique ne semble avoir joué qu'un rôle accessoire dans l'octroi de la rente en 1998 et son maintien en 2004. Si bien que quand bien même, sur ce plan, l'état de santé se serait un peu amélioré, ce progrès ne saurait justifier la suppression de la rente entière.</w:t>
      </w:r>
    </w:p>
    <w:p>
      <w:r>
        <w:rPr>
          <w:b/>
        </w:rPr>
        <w:t>E. 9.4</w:t>
      </w:r>
    </w:p>
    <w:p>
      <w:r>
        <w:t>Il ressort du dossier un tableau chronique d'origine essentiellement douloureuse de l'épaule droite qu'aucune raison objectivable n'a jamais pu vraiment expliquer, ni en 1998, ni en 2004 et encore moins en 2009. De surcroît, viennent s'ajouter en 2009 à ce tableau clinique connu de longue date, des troubles sensitivomoteurs des membres inférieurs sans substrat somatique documenté mais observés par plusieurs médecins. Une telle situation n'ouvrirait sans doute plus un droit à une rente. Il n'empêche - étant entendu que le premier volet de la 6e révision de l'AI n'est pas applicable (cf. consid. 3.4) - qu'il ne suffit pas de poser un regard différent sur une situation similaire ou de varier les diagnostics sur un état de santé inchangé pour que l'art. 17 LPGA trouve application (cf. consid. 5.1). Par ailleurs, il convient de relever que l'autorité inférieure n'a pas non plus examiné la capacité de réadaptation de l'assurée. À cet égard, il convient de rappeler que selon la jurisprudence, une rente AI octroyée à un assuré âgé plus de 55 ans ou pendant plus de 15 ans ne saurait être réduite ou supprimée sans que la capacité de travail résiduelle médico-théorique mise en évidence sur le plan médical soit objectivement confirmée. Il est en particulier nécessaire d'examiner si la réintégration dans le marché du travail doit être précédée d'une mesure de réintégration et/ou de réadaptation, sauf s'il apparaît que la personne assurée serait capable de réintégrer le marché du travail par ses propres moyens (arrêts du Tribunal fédéral 9C_368/2010 du 31 janvier 2011 consid. 5.2.2.2 et 9C_163/2009 du 10 septembre 2010 consid. 4.2.2., 9C_254/2011 du 15 novembre 2011 consid. 7.1.2.2).</w:t>
      </w:r>
    </w:p>
    <w:p>
      <w:r>
        <w:rPr>
          <w:b/>
        </w:rPr>
        <w:t>E. 10.1</w:t>
      </w:r>
    </w:p>
    <w:p>
      <w:r>
        <w:t>Il s'en suit que l'autorité inférieure n'était pas en droit de procéder à la révision de sa décision du 2 juin 2004. Le recours doit donc être admis, la décision du 19 février 2010 est réformée dans le sens que le droit de la recourante à une rente entière est maintenu.</w:t>
      </w:r>
    </w:p>
    <w:p>
      <w:r>
        <w:rPr>
          <w:b/>
        </w:rPr>
        <w:t>E. 10.2</w:t>
      </w:r>
    </w:p>
    <w:p>
      <w:r>
        <w:t>Compte tenu de l'issue du litige, la requête de la recourante visant à la mise en oeuvre d'une nouvelle expertise est sans objet.</w:t>
      </w:r>
    </w:p>
    <w:p>
      <w:r>
        <w:rPr>
          <w:b/>
        </w:rPr>
        <w:t>E. 11.1</w:t>
      </w:r>
    </w:p>
    <w:p>
      <w:r>
        <w:t>Vu l'issue du litige, il n'est pas perçu de frais de procédure (art. 63 al. 1 et 2 PA). En conséquence, l'avance de frais de 400 francs déjà versée par la recourante lui sera restituée sur le compte bancaire qu'elle aura désigné, une fois le présent arrêt entré en force.</w:t>
      </w:r>
    </w:p>
    <w:p>
      <w:r>
        <w:rPr>
          <w:b/>
        </w:rPr>
        <w:t>E. 11.2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la représentante de la recourante en instance de recours a consisté principalement dans la rédaction d'un recours de 12 pages accompagné d'un bordereau de copies de 32 pièces et d'une réplique de 3 pages. Il se justifie, eu égard à ce qui précède, de lui allouer ex aequo et bono une indemnité à titre de dépens de 2'500 francs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