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C-1942/2023 vom 22. Februar 2023</w:t>
      </w:r>
    </w:p>
    <w:p>
      <w:r>
        <w:t>Bundesverwaltungsgericht, 2023-02-22, DE</w:t>
      </w:r>
    </w:p>
    <w:p>
      <w:r>
        <w:rPr>
          <w:b/>
        </w:rPr>
        <w:t xml:space="preserve">Quelle: </w:t>
      </w:r>
      <w:r>
        <w:t>https://mcp.opencaselaw.ch/entscheid/bvger_C-1942_2023_d20230222</w:t>
      </w:r>
    </w:p>
    <w:p>
      <w:r>
        <w:t>FR: TAF C-1942/2023 du 22 février 2023</w:t>
      </w:r>
    </w:p>
    <w:p>
      <w:r>
        <w:t>IT: TAF C-1942/2023 del 22 febbraio 2023</w:t>
      </w:r>
    </w:p>
    <w:p>
      <w:pPr>
        <w:pStyle w:val="Heading2"/>
      </w:pPr>
      <w:r>
        <w:t>Regeste</w:t>
      </w:r>
    </w:p>
    <w:p>
      <w:r>
        <w:t>R&amp;uuml;ckforderung von Versicherungsleistungen und Erlass | Alters- und Hinterlassenenversicherung, Rückforderung von unrechtmässig bezogenen Leistungen, Einspracheentscheid der SAK vom 22. Februar 2023</w:t>
      </w:r>
    </w:p>
    <w:p>
      <w:pPr>
        <w:pStyle w:val="Heading2"/>
      </w:pPr>
      <w:r>
        <w:t>Erwägungen</w:t>
      </w:r>
    </w:p>
    <w:p>
      <w:r>
        <w:rPr>
          <w:b/>
        </w:rPr>
        <w:t>E. 1</w:t>
      </w:r>
    </w:p>
    <w:p>
      <w:r>
        <w:t>Das Beschwerdeverfahren wird zufolge Rückzugs der Beschwerde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die Beschwerdeführerin, die Vorinstanz und das Bundesamt für Sozialversicherungen. (Für die Rechtsmittelbelehrung wird auf die nächste Seite verwiesen.) Die Einzelrichterin: Die Gerichtsschreiberin: Regina Derrer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