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C-1942/2012 vom 17. März 2014</w:t>
      </w:r>
    </w:p>
    <w:p>
      <w:r>
        <w:t>Bundesverwaltungsgericht, 2014-03-17, DE</w:t>
      </w:r>
    </w:p>
    <w:p>
      <w:r>
        <w:rPr>
          <w:b/>
        </w:rPr>
        <w:t xml:space="preserve">Quelle: </w:t>
      </w:r>
      <w:r>
        <w:t>https://mcp.opencaselaw.ch/entscheid/bvger_C-1942_2012</w:t>
      </w:r>
    </w:p>
    <w:p>
      <w:r>
        <w:t>FR: TAF C-1942/2012 du 17 mars 2014</w:t>
      </w:r>
    </w:p>
    <w:p>
      <w:r>
        <w:t>IT: TAF C-1942/2012 del 17 marzo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 3.3.1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3.2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2725/2013 vom 4. November 2013 E. 3.3 mit Hinweis). 4.4.1 Der Beschwerdeführer ist seit seiner Einreise in die Schweiz mehrmals straffällig geworden. Neben strafbaren Handlungen gegen das Ausländerrecht (Missachtung einer Massnahme, rechtswidrige Einreise, rechtswidriger Aufenthalt) wurde er bereits im Jahr 2005 wegen Betäubungsmitteldelikten verurteilt (vgl. Bst. B - D, F, I, P und Q). Die Voraussetzungen für ein Einreiseverbot gemäss Art. 67 Abs. 2 Bst. a AuG sind zweifelsohne erfüllt. 4.2 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C-4425/2011 vom 18. Januar 2013 E. 7.3 mit Hinweis). 4.3 Hinzu kommt, dass der Beschwerdeführer in Ausschaffungshaft genommen und ausgeschafft werden musste, weshalb er auch diesbezüglich Gründe für die Verhängung einer Fernhaltemassnahme gesetzt hat (vgl. Art. 67 Abs. 2 Bst. c AuG). Bei massgeblichem Sachverhalt zum Zeitpunkt der Urteilsfällung (vgl. E. 2 in fine) ist diese Ergänzung der vor-instanzlichen Begründung im Sinne einer Motivsubstitution durchaus möglich und zulässig (vgl. Bst. J sowie Urteil des Bundesverwaltungsgerichts C-6323/2011 vom 22. Oktober 2013 E. 5.4). 4.4 4.4.1 Die pflichtgemässe Ausübung des Ermessens impliziert die Beachtung rechtlicher Schranken. Solche können sich aus übergeordnetem Recht und aus den allgemeinen Grundsätzen des Verwaltungshandelns ergeben. Im vorliegenden Fall steht die Verhältnismässigkeit des Einreiseverbots und seine Vereinbarkeit mit dem Anspruch des Beschwerdeführers auf Achtung seines Familienlebens (Art. 8 der Konvention vom 4. November 1950 zum Schutze der Menschenrechte und Grundfreiheiten [EMRK, SR 0.101] und Art. 13 Abs. 1 der Bundesverfassung der Schweizerischen Eidgenossen­schaft vom 18. April 1999 [BV, SR 101]) im Vordergrund.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und St. Gallen 2010, S. 138 f.). Das Verschulden des Beschwerdeführer wiegt nicht leicht. Allein seit seiner Einreise in die Schweiz im Jahr 2005 erwirkte er mehrere Verurteilungen mit einer Gesamtfreiheitsstrafe von 120 Tagen. Dazu gesellen sich weitere zwei Verurteilungen nach Erlass der Fernhaltemassnahme. Das Bundesverwaltungsgericht schliesst sich der Beurteilung der Vorinstanz an, dass vom Beschwerdeführer eine gegenwärtige Gefahr für die öffentliche Sicherheit und Ordnung ausgeht. Im Urteil des Obergerichts Bern vom 29. Januar 2008 wird ausgeführt, dass dem Beschwerdeführer keine günstige Prognose gestellt werden könne (vgl. Urteil S. 9). Mit seiner erneuten Delinquenz im Jahr 2011 bewahrheitete sich diese Prognose denn auch. Von seinem kriminellen Lebenswandel liess er sich weder durch Strafermittlungen und Verurteilungen noch Probezeiten abbringen (vgl. Urteil S. 10). Zu Unrecht nimmt der Beschwerdeführer für sich in Anspruch, dass er sich seit seiner letzten Straftat am 12. Dezember 2011 und nach seiner bedingten Entlassung im März 2012 nichts mehr habe zu Schulden kommen lassen. Dem Wohlverhalten im Strafvollzug, das zu seiner bedingten Entlassung geführt hat, kommt aus ausländerrechtlicher Sicht nur beschränkte Aussagekraft zu. Überdies wurde er im Jahr 2013 erneut zwei Mal verurteilt (vgl. Bst. P und Q). 4.4.2 Im Sinne eines Zwischenergebnisses ist festzustellen, dass vom Beschwerdeführer eine Gefahr künftiger Störungen der öffentlichen Sicherheit und Ordnung ausgeht. Es besteht mithin ein erhebliches öffentliches Interesse an einer Fernhaltung des Beschwerdeführers. 4.4.3 Was die gegenläufigen privaten Interessen des Beschwerdeführers angeht, so fällt nur seine Beziehung zum Kind ins Gewicht. Diese verwandschaftliche Situation des Beschwerdeführers begründet durchaus ein nicht unerhebliches Interesse an Einreisen. Allerdings ist sie nicht ausschlaggebend, da die mit dem Einreiseverbot verbundene Beeinträchtigung des Familienlebens die entsprechende Garantie des Art. 8 EMRK und Art. 13 Abs. 1 BV nicht verletzt. Denn soweit im Einreiseverbot überhaupt ein rechtfertigungsbedürftiger Eingriff in das genannte Rechtsgut erblickt werden kann, wiegt er vergleichsweise leicht. Die Beeinträchtigung besteht in der Notwendigkeit, vor jedem familiär motivierten Besuchsaufenthalt in der Schweiz eine Suspension der Massnahme einzuholen (vgl. dazu Urteil des Bundesverwaltungsgerichts C 4509/2009 vom 7. Januar 2010 E. 7.3 mit Hinweisen). Eine solche administrative Erschwerung des Besuchsverkehrs wird im vorliegenden Fall nach Massgabe von Art. 8 Ziff. 2 EMRK bzw. Art. 36 BV ohne weiteres durch das öffentliche Fernhalteinteresse gerechtfertigt. 4.4.4 Zusammenfassend lässt sich feststellen, dass ein erhebliches öffentliches Interesse an einer längerfristigen Fernhaltung des Beschwerdeführers besteht. Dem öffentlichen Fernhalteinteresse stehen behauptete - aber ausser mit einem Schreiben der Kindsmutter nicht weiter belegte - Auswirkungen der Massnahme in der Interessensphäre des Beschwerdeführers gegenüber. Die Angaben über die Besuchsfrequenz divergieren und anderweitige Nachweise werden erst gar nicht erbracht. Den berechtigten Interessen des Beschwerdeführers trug die Vorinstanz hingegen durch die Begrenzung des Einreiseverbots auf vier Jahre Dauer genügend Rechnung. Das Einreiseverbot erweist sich somit als verhältnismässige und angemessene Massnahme zum Schutz der öffentlichen Sicherheit und Ordnung.</w:t>
      </w:r>
    </w:p>
    <w:p>
      <w:r>
        <w:rPr>
          <w:b/>
        </w:rPr>
        <w:t>E. 5</w:t>
      </w:r>
    </w:p>
    <w:p>
      <w:r>
        <w:t>Aus diesen Erwägungen ergibt sich, dass die angefochtene Verfügung im Lichte von Art. 49 VwVG nicht zu beanstanden ist. Die Beschwerde ist demzufolge abzuweisen. 6.Entsprechend dem Ausgang des Verfahrens wird der unterliegende Beschwerdeführer kostenpflichtig (vgl.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