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C-1940/2023 vom 9. März 2023</w:t>
      </w:r>
    </w:p>
    <w:p>
      <w:r>
        <w:t>Bundesverwaltungsgericht, 2023-03-09, DE</w:t>
      </w:r>
    </w:p>
    <w:p>
      <w:r>
        <w:rPr>
          <w:b/>
        </w:rPr>
        <w:t xml:space="preserve">Quelle: </w:t>
      </w:r>
      <w:r>
        <w:t>https://mcp.opencaselaw.ch/entscheid/bvger_C-1940_2023_d20230309</w:t>
      </w:r>
    </w:p>
    <w:p>
      <w:r>
        <w:t>FR: TAF C-1940/2023 du 9 mars 2023</w:t>
      </w:r>
    </w:p>
    <w:p>
      <w:r>
        <w:t>IT: TAF C-1940/2023 del 9 marzo 2023</w:t>
      </w:r>
    </w:p>
    <w:p>
      <w:pPr>
        <w:pStyle w:val="Heading2"/>
      </w:pPr>
      <w:r>
        <w:t>Regeste</w:t>
      </w:r>
    </w:p>
    <w:p>
      <w:r>
        <w:t>Rentenanspruch | Invalidenversicherung (IV), Nichteintretensverfügung der IVSTA vom 9. März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