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C-1929/2013 vom 19. September 2013</w:t>
      </w:r>
    </w:p>
    <w:p>
      <w:r>
        <w:t>Bundesverwaltungsgericht, 2013-09-19, IT</w:t>
      </w:r>
    </w:p>
    <w:p>
      <w:r>
        <w:rPr>
          <w:b/>
        </w:rPr>
        <w:t xml:space="preserve">Quelle: </w:t>
      </w:r>
      <w:r>
        <w:t>https://mcp.opencaselaw.ch/entscheid/bvger_C-1929_2013</w:t>
      </w:r>
    </w:p>
    <w:p>
      <w:r>
        <w:t>FR: TAF C-1929/2013 du 19 septembre 2013</w:t>
      </w:r>
    </w:p>
    <w:p>
      <w:r>
        <w:t>IT: TAF C-1929/2013 del 19 settembre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la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DTAF 2011/43 consid. 6.1; DTAF 2012/21 consid. 5.1).</w:t>
      </w:r>
    </w:p>
    <w:p>
      <w:r>
        <w:rPr>
          <w:b/>
        </w:rPr>
        <w:t>E. 4.1</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4.2</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4.3</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2012, art. 67 LStr, cifra 3). Ciò detto, ne discende che i reati perpetrati contro le norme del diritto degli stranieri rappresentano delle violazioni di legge, sanzionate secondo gli art. 115 LStr, e possono in quanto tali portare all'emissione di un divieto d'entrata. Esso non deve essere tuttavia interpretato quale sanzione dal carattere penale bensì quale misura di protezione a carattere preventivo contro possibili turbative future (cfr. Messaggio pre­citato FF 2002 pag. 3428).</w:t>
      </w:r>
    </w:p>
    <w:p>
      <w:r>
        <w:rPr>
          <w:b/>
        </w:rPr>
        <w:t>E. 4.4</w:t>
      </w:r>
    </w:p>
    <w:p>
      <w:r>
        <w:t>L'autorità competente esamina secondo il proprio libero apprezzamento se un divieto di entrata deve essere pronunciato. In proposito essa deve procedere ad una ponderazione meticolosa di tutti gli interessi presenti e rispettare il principio di proporzionalità (cfr. Andreas Zünd/Ladina Arquint Hill, Beendigung der Anwesenheit, Entfernung und Fernhaltung, in: Uebersax/ Rudin/ Hugi Yar/ Geiser [éd.], Ausländerrecht, 2ème éd., Bâle 2009, ch. 8.80 p. 356).</w:t>
      </w:r>
    </w:p>
    <w:p>
      <w:r>
        <w:rPr>
          <w:b/>
        </w:rPr>
        <w:t>E. 5.1</w:t>
      </w:r>
    </w:p>
    <w:p>
      <w:r>
        <w:t>Dagli atti di causa emerge che A._______ ha interessato le autorità penali italiane e svizzere a più riprese, infatti: - con sentenze delle autorità giudiziarie italiane, del 12 aprile 2007 e del 16 gennaio 2008, egli è stato condannato segnatamente per detenzione illecita di sostanze stupefacenti, reato accertato il 29 settembre 2006, e per il reato di evasione, reato accertato il 19 settembre 2007. Conseguentemente l'interessato ha espiato una pena detentiva complessiva dal 29 settembre 2006 al 19 settembre 2009. - con decreto d'accusa del 4 aprile 2011 A._______ è stato condannato dal Ministero pubblico del Cantone Ticino, alla pena pecuniaria di 45 aliquote giornaliere di 100 franchi cadauna, per infrazione alla LCStr, e meglio per aver condotto un'autovettura in stato di inattitudine, per aver perso la padronanza del veicolo e cozzato contro un ostacolo, e per aver abbandonato il luogo dell'incidente senza aver provveduto ad informare tempestivamente il danneggiato o le autorità di polizia; - con decreto d'accusa del 17 settembre 2012 l'interessato è stato condannato dal Ministero pubblico del Cantone Ticino, per infrazione alla LStr, e meglio per avere svolto l'attività lucrativa "come D.J., custode e parzialmente come barista" presso l'esercizio pubblico C._______ ad ....</w:t>
      </w:r>
    </w:p>
    <w:p>
      <w:r>
        <w:rPr>
          <w:b/>
        </w:rPr>
        <w:t>E. 5.2</w:t>
      </w:r>
    </w:p>
    <w:p>
      <w:r>
        <w:t>Orbene i reati di droga sono considerati gravi e giustificano l'in­tervento rigoroso e deciso da parte delle autorità competenti. La protezione della collettività, di fronte allo sviluppo del traffico degli stupefacenti,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DTF 125 II 521 consid. 4a/aa). A questo titolo giova rilevare come secondo la giurisprudenza della Corte di Giustizia delle Comunità europee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lett. b ch. 1).</w:t>
      </w:r>
    </w:p>
    <w:p>
      <w:r>
        <w:rPr>
          <w:b/>
        </w:rPr>
        <w:t>E. 5.3</w:t>
      </w:r>
    </w:p>
    <w:p>
      <w:r>
        <w:t>Inoltre giusta l'art. 11 cpv. 1 LStr, lo straniero che intende esercitare un'attività lucrativa in Svizzera necessita di un permesso indipendentemente dalla durata del soggiorno. Il permesso va richiesto all'autorità competente per il luogo di lavoro previsto. È considerata attività lucrativa, poco importa se svolta a titolo gratuito od oneroso, qualsiasi attività dipendente o indipendente normalmente esercitata dietro compenso (art. 11 cpv. 2 LStr). Una regolamentazione speciale è prevista invece per lo straniero che fornisce una prestazione di servizi transfrontaliera, il quale necessita di un permesso se la sua attività lucrativa supera otto giorni per anno civile (art. 14 cpv. 1 OASA).</w:t>
      </w:r>
    </w:p>
    <w:p>
      <w:r>
        <w:rPr>
          <w:b/>
        </w:rPr>
        <w:t>E. 5.4</w:t>
      </w:r>
    </w:p>
    <w:p>
      <w:r>
        <w:t>Ciò detto è evidente che A._______, con il suo atteggiamento, ha violato a due riprese in Svizzera l'ordine e la sicurezza pubblici, in particolare infrangendo disposizioni della LStr e della LCStr, nonché, con i reati commessi in Italia, ha dimostrato di rappresentare una concreta minaccia, sufficientemente grave, da legittimare l'adozione di una misura dettata da motivi d'ordine pubblico. Ne discende che l'autorità di prime cure ha, a giusto titolo, emesso un divieto d'entrata nei suoi confronti conformemente all'art. 67 LStr.</w:t>
      </w:r>
    </w:p>
    <w:p>
      <w:r>
        <w:rPr>
          <w:b/>
        </w:rPr>
        <w:t>E. 6.1</w:t>
      </w:r>
    </w:p>
    <w:p>
      <w:r>
        <w:t>Essendo la decisione di divieto d'entrata confermata nel suo principio, resta ora da stabilire se la durata della misura di allontanamento adottata dall'UFM, prevista per un periodo di 10 anni, rispetta il principio della proporzionalità.</w:t>
      </w:r>
    </w:p>
    <w:p>
      <w:r>
        <w:rPr>
          <w:b/>
        </w:rPr>
        <w:t>E. 6.2</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10 anni e quello privato del ricorrente a potervi entrare. Rilevanti sono le particolarità del comportamento illecito, la situazione personale della persona interessata e la rilevanza del bene giuridico minacciato o violato (cfr. Ulrich Häfeli/Georg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tra lo scopo perseguito e la restrizione alla libertà personale che ne consegue (DFT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6.3</w:t>
      </w:r>
    </w:p>
    <w:p>
      <w:r>
        <w:t>L'art. 67 cpv. 3 LStr permette alle autorità svizzere di pronunciare un divieto d'entrata per una durata maggiore ai 5 anni, se l'interessato costituisce un grave pericolo per l'ordine e la sicurezza pubblici. In una recente giurisprudenza, il Tribunale federale ha rilevato che la graduazione delle esigenze prevista nella suddetta disposizione a seconda che l'autorità intenda pronunciare un divieto per una durata inferiore o superiore a 5 anni non si fonda sull'ALC e nemmeno sulla giurisprudenza relativa, bensì sulla direttiva 2008/115/CE del Parlamento europeo e del Consiglio del 16 dicembre 2008 relativa a norme e procedure comuni applicabili negli Stati membri al rimpatrio di cittadini di paesi terzi il cui soggiorno è irregolare (GU L 348 del 24 dicembre 2008 pag. 98; cfr. FF 2009 7769, 7777)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Poiché la LStr non opera alcuna distinzione tra cittadini di Stati ALC e stati terzi (l'art. 67 cpv. 3 LStr riprende infatti il contenuto dell'art. 11 cpv. 2 direttiva 2008/115/CE) e poiché l'ALC è silente sulle misure di divieto d'entrata e a fortiori sulla possibile durata delle stesse, si deve intendere che il legislatore ha voluto regolare i provvedimenti di divieto d'entrata superiori a cinque anni allo stesso modo per le due categorie di cittadini di stati terzi (membri ALC o meno). Si tratta dunque di determinare quali siano le condizioni poste dall'autorità, a fondamento di un provvedimento di divieto d'entrata per una durata superiore a 5 anni; in altre parole definire i criteri sui quali l'autorità riconosce o meno l'esistenza del "grave pericolo per l'ordine e la sicurezza pubblici", giusta l'art. 67 cpv. 3 LStr. In proposito la recente giurisprudenza ha indicato che la nozione di "pericolo grave" richiede un grado di gravità maggiore al "semplice" pericolo o minaccia all'ordine e la sicurezza pubblici (cfr. art. 67 cpv. 2 let. a LStr), ma anche maggiore alla nozione di "pericolo di una certa gravità", necessaria per pronunciare un divieto d'entrata per un cittadino di uno stato ALC. Operando un raffronto con la nozione di "pericolo di una certa gravità" dell'art. 5 allegato 1 ALC (cfr. : DTF 139 II 121 consid. 6; per una casistica vedi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esaminata in concreto, sulla base degli atti di causa (cfr. Marc Spescha, Migrationsrecht-Kommentar, 3 ed., ad art. 67 LStr, n. 5 pag. 196; Andrea Binder Oser, Bundesgesetz über die Ausländer/innen, ad art. 67 LStr, n. 24 pag. 689 ). Essa può infatti fondarsi sulla natura del bene giuridico in pericolo (ad esempio: minaccia grave alla vita, l'integrità della persona, l'integrità sessuale o la salute pubblica), sulla natura dell'infrazione commessa, segnatamente compresa in una criminalità particolarmente grave con dimensione transfrontaliera (cfr.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DTF 139 II 121 consid. 6).</w:t>
      </w:r>
    </w:p>
    <w:p>
      <w:r>
        <w:rPr>
          <w:b/>
        </w:rPr>
        <w:t>E. 6.4</w:t>
      </w:r>
    </w:p>
    <w:p>
      <w:r>
        <w:t>Il divieto d'entrata pronunciato nei confronti di A._______ è superiore ai 5 anni: occorre dunque esaminare in concreto, se egli costituisce un "grave pericolo per l'ordine e la sicurezza pubblici" ai sensi dell'art. 67 cpv. 3 ultima frase LStr (cfr. supra 6.3 e giurisprudenza ivi citata). Dagli atti di causa si evince che il ricorrente si è reso protagonista di crimini gravi per l'ordine e la sicurezza pubblici che riguardano beni giuridici estremamente sensibili, in particolare nel commercio di stupefacenti e nella guida in stato di inattitudine sotto l'influsso di bevande alcoliche con un'alcolemia minima dello 1,78 per mille e massima del 2,26 per mille. Con riferimento ai crimini commessi in Italia, A._______ ha evidenziato - a sostegno delle proprie conclusioni - l'espiazione della pena completa; ciononostante i crimini commessi, particolarmente importanti e gravi per la salute pubblica, nonché l'evasione dal carcere in periodo di espiazione della pena, come pure la commissione in un passato recente, conducono questo Tribunale a considerare il ricorrente ancora una minaccia e pericolo ai sensi di legge.</w:t>
      </w:r>
    </w:p>
    <w:p>
      <w:r>
        <w:rPr>
          <w:b/>
        </w:rPr>
        <w:t>E. 6.5</w:t>
      </w:r>
    </w:p>
    <w:p>
      <w:r>
        <w:t>Quanto agli interessi privati, A._______ ha evidenziato i forti legami affettivi famigliari con la sorella residente a Sementina e con i figli rispettivamente nipoti a cui è fortemente legato, essendo pure padrino di battesimo di uno di essi. Orbene dalle risultanze istruttorie emerge che il ricorrente è a beneficio di un permesso di soggiorno in Italia e abbia la propria residenza a Luino. Ne discende che i contatti con la propria sorella e i nipoti possono essere mantenuti facilmente anche in futuro su territorio italiano, considerando per di più la residenza del ricorrente nelle immediate vicinanze della frontiera Svizzera. Ciò detto il presente Tribunale ritiene che gli interessi privati manifestati del ricorrente, non possono essere ritenuti preponderanti rispetto all'interesse pubblico di mantenimento dell'ordine e della sicurezza in Svizzera.</w:t>
      </w:r>
    </w:p>
    <w:p>
      <w:r>
        <w:rPr>
          <w:b/>
        </w:rPr>
        <w:t>E. 7</w:t>
      </w:r>
    </w:p>
    <w:p>
      <w:r>
        <w:t>A._______ ha inoltre invocato la violazione degli art. 8 e 12 CEDU sottolineando che la decisione dell'autorità di prime cure comporterebbe "alla nuova famiglia una serie di gravissimi problemi".</w:t>
      </w:r>
    </w:p>
    <w:p>
      <w:r>
        <w:rPr>
          <w:b/>
        </w:rPr>
        <w:t>E. 7.1</w:t>
      </w:r>
    </w:p>
    <w:p>
      <w:r>
        <w:t>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Rivista di diritto amministrativo e di diritto tributario, RDAT 1 1997 pag. 282). 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135 I 143 consid. 1.3.1 e 2.).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Ciò detto, nel caso in esame l'art. 8 CEDU non viene in soccorso della tesi ricorsuale poiché dalle risultanze istruttorie non risulta che A._______ abbia contratto matrimonio con una persona residente in Svizzera o abbia figli in questo paese, tantomeno la sua minore età e la presenza in Svizzera di almeno un genitore.</w:t>
      </w:r>
    </w:p>
    <w:p>
      <w:r>
        <w:rPr>
          <w:b/>
        </w:rPr>
        <w:t>E. 7.2</w:t>
      </w:r>
    </w:p>
    <w:p>
      <w:r>
        <w:t>Con riferimento all'art. 12 CEDU invocato dal ricorrente e relativo al diritto al matrimonio, il presente Tribunale ritiene di non dovere esaminare oltre la censura, nella misura in cui agli atti di causa risulta una recente dichiarazione scritta di B._______, che comunica di non essere più intenzionata ad unirsi in matrimonio con il ricorrente (cfr. incarto cantonale, dichiarazione del 17 aprile 2013).</w:t>
      </w:r>
    </w:p>
    <w:p>
      <w:r>
        <w:rPr>
          <w:b/>
        </w:rPr>
        <w:t>E. 8</w:t>
      </w:r>
    </w:p>
    <w:p>
      <w:r>
        <w:t>In queste circostanze e tenuto conto del fatto che la presenza in Svizzera del ricorrente non appare indispensabile, visti i motivi suesposti, il Tribunale constata che il divieto d'entrata pronunciato dall'UFM è fondato. Ne discende che l'autorità di prime cure, con la decisione dell'8 marzo 2013, non ha violato il diritto federale, né abusato del suo potere d'apprezzamento; inoltre l'UFM non ha accertato in modo inesatto o incompleto i fatti giuridicamente rilevanti ed infine la decisione non è inadeguata (art. 49 PA). Il ricorso deve dunque essere respinto.</w:t>
      </w:r>
    </w:p>
    <w:p>
      <w:r>
        <w:rPr>
          <w:b/>
        </w:rPr>
        <w:t>E. 9</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