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C-1927/2011 vom 5. März 2013</w:t>
      </w:r>
    </w:p>
    <w:p>
      <w:r>
        <w:t>Bundesverwaltungsgericht, 2013-03-05, DE</w:t>
      </w:r>
    </w:p>
    <w:p>
      <w:r>
        <w:rPr>
          <w:b/>
        </w:rPr>
        <w:t xml:space="preserve">Quelle: </w:t>
      </w:r>
      <w:r>
        <w:t>https://mcp.opencaselaw.ch/entscheid/bvger_C-1927_2011</w:t>
      </w:r>
    </w:p>
    <w:p>
      <w:r>
        <w:t>FR: TAF C-1927/2011 du 5 mars 2013</w:t>
      </w:r>
    </w:p>
    <w:p>
      <w:r>
        <w:t>IT: TAF C-1927/2011 del 5 marzo 2013</w:t>
      </w:r>
    </w:p>
    <w:p>
      <w:pPr>
        <w:pStyle w:val="Heading2"/>
      </w:pPr>
      <w:r>
        <w:t>Regeste</w:t>
      </w:r>
    </w:p>
    <w:p>
      <w:r>
        <w:t>Freiwillige Versicherung</w:t>
      </w:r>
    </w:p>
    <w:p>
      <w:pPr>
        <w:pStyle w:val="Heading2"/>
      </w:pPr>
      <w:r>
        <w:t>Erwägungen</w:t>
      </w:r>
    </w:p>
    <w:p>
      <w:r>
        <w:rPr>
          <w:b/>
        </w:rPr>
        <w:t>E. 1</w:t>
      </w:r>
    </w:p>
    <w:p>
      <w:r>
        <w:t>Anfechtungsobjekt ist der Einspracheentscheid vom 2. März 2011, mit welchem die Vorinstanz die Einsprache des Beschwerdeführers vom 28. Juni 2010 abgewiesen und ihre Verfügung vom 7. Juni 2010 betreffend amtliche Veranlagung der Beiträge für das Jahr 2009 bestätigt hat.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daher zur Beurteilung der vorliegenden Beschwerde zuständig.</w:t>
      </w:r>
    </w:p>
    <w:p>
      <w:r>
        <w:rPr>
          <w:b/>
        </w:rPr>
        <w:t>E. 1.2</w:t>
      </w:r>
    </w:p>
    <w:p>
      <w:r>
        <w:t>Der Beschwerdeführer ist durch die angefochtene Verfügung besonders berührt und hat ein schutzwürdiges Interesse an deren Aufhebung oder Änderung. Er ist daher zur Beschwerde legitimiert (Art. 48 Abs. 1 Bst. b und c VwVG; vgl. auch Art. 59 des Bundesgesetzes vom 6. Oktober 2000 über den Allgemeinen Teil des Sozialversicherungsrechts [ATSG, SR 830.1]).</w:t>
      </w:r>
    </w:p>
    <w:p>
      <w:r>
        <w:rPr>
          <w:b/>
        </w:rPr>
        <w:t>E. 1.3</w:t>
      </w:r>
    </w:p>
    <w:p>
      <w:r>
        <w:t>Die Beschwerde wurde frist- und formgerecht eingereicht (Art. 50 Abs. 1 und Art. 52 Abs. 1 VwVG; vgl. auch Art. 60 ATSG), weshalb darauf einzutreten ist.</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Nach den allgemeinen intertemporalrechtlichen Regeln sind in verfahrensrechtlicher Hinsicht diejenigen Rechtssätze massgebend, die im Zeitpunkt der Beschwerdebeurteilung Geltung haben (BGE 130 V 1 E. 3.2), unter Vorbehalt der spezialgesetzlichen Übergangsbestimmungen. Das Verfahren vor dem Bundesverwaltungsgericht richtet sich im Wesentlichen nach den Vorschriften des VGG, des VwVG (Art. 37 VGG) sowie des ATSG. Nach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1.6</w:t>
      </w:r>
    </w:p>
    <w:p>
      <w:r>
        <w:t>In materiellrechtlicher Hinsicht sind grundsätzlich diejenigen Rechtssätze massgebend, die bei der Erfüllung des zu Rechtsfolgen führenden Sachverhalts Geltung haben (BGE 130 V 329 E. 2.3).</w:t>
      </w:r>
    </w:p>
    <w:p>
      <w:r>
        <w:rPr>
          <w:b/>
        </w:rPr>
        <w:t>E. 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2.1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2.2</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w:t>
      </w:r>
    </w:p>
    <w:p>
      <w:r>
        <w:rPr>
          <w:b/>
        </w:rPr>
        <w:t>E. 2.3</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4044 der Wegleitung über die freiwillige Versicherung, wonach nichterwerbstätige Beitragspflichtige ihr Renteneinkommen und/oder Vermögen durch geeignete Unterlagen [z.B. Steuerrechnungen] zu belegen haben). Die Ausgleichskasse setzt die für das Beitragsjahr geschuldeten Beiträgen spätestens bis zum 30. Juni des Folgejahres mittels Verfügung fest. Hat die versicherte Person von der Möglichkeit Gebrauch gemacht, Akontozahlungen zu leisten, nimmt die Ausgleichskasse den Ausgleich vor (Abs. 2).</w:t>
      </w:r>
    </w:p>
    <w:p>
      <w:r>
        <w:rPr>
          <w:b/>
        </w:rPr>
        <w:t>E. 2.4</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3</w:t>
      </w:r>
    </w:p>
    <w:p>
      <w:r>
        <w:t>Vorliegend ist strittig und vom Bundesverwaltungsgericht zu prüfen, ob die SAK die Beiträge des Beschwerdeführers für die Beitragsperiode 2009 korrekt festgelegt hat.</w:t>
      </w:r>
    </w:p>
    <w:p>
      <w:r>
        <w:rPr>
          <w:b/>
        </w:rPr>
        <w:t>E. 3.1</w:t>
      </w:r>
    </w:p>
    <w:p>
      <w:r>
        <w:t>Mit Schreiben vom 8. Februar 2010 mahnte die Vorinstanz den Beschwerdeführer auf, die Einkommens- und Vermögenserklärung für das Jahr 2009 innert 30 Tagen nicht eingereicht zu haben (act. SAK 60). Dem Schreiben des Beschwerdeführers vom 9. April 2010 kann entnommen werden, dass dieser die Mahnung erhalten hatte, entschuldigte er sich doch für "die verspätete Zusendung, Stichtag für den T 4 war 31. März" (act. SAK 65 Beilage 1). Wie der Beschwerdeführer in seinem Schreiben vom 9. April 2010 selber einräumte, hat er somit die von der Vorinstanz angesetzte Frist nicht eingehalten und die Belege zu spät eingereicht (act. SAK 65 Beilage 6). Bereits aus diesem Grund erfolgte die amtliche Veranlagung durch die Vorinstanz zu Recht (Art. 17 Abs. 1 VFV).</w:t>
      </w:r>
    </w:p>
    <w:p>
      <w:r>
        <w:rPr>
          <w:b/>
        </w:rPr>
        <w:t>E. 3.2</w:t>
      </w:r>
    </w:p>
    <w:p>
      <w:r>
        <w:t>Unter den Parteien ist des Weiteren umstritten, ob der Beschwerdeführer mit dem besagten Schreiben vom 9. April 2010 die Einkommens- und Vermögenserklärung für das Jahr 2009 tatsächlich einreichte. In den Akten findet sich keine Einkommens- und Vermögenserklärung für das Jahr 2009. Diese Frage kann aber offen bleiben, da wie die Vorinstanz zu Recht festhielt, auch die Einkommens- und Vermögenserklärung für das Jahr 2009 nicht ausreichen würde, um eine Veranlagung vorzunehmen, da Belege betreffend den Vermögensverhältnissen, wie des Konkurses, und Informationen betreffend welcher Zeitperiode der Beschwerdeführer erwerbstätig war, in den Akten fehlen. Auch aus diesem Grund erfolgte die amtliche Veranlagung durch die Vorinstanz zu Recht.</w:t>
      </w:r>
    </w:p>
    <w:p>
      <w:r>
        <w:rPr>
          <w:b/>
        </w:rPr>
        <w:t>E. 3.3</w:t>
      </w:r>
    </w:p>
    <w:p>
      <w:r>
        <w:t>Für die Veranlagung betreffend das Beitragsjahr 2009 hat die Vorinstanz den Beschwerdeführer korrekterweise gestützt auf die Beitragsverfügung für die Beitragsperiode 2008 vom 28. August 2009 (act. SAK 52) amtlich veranlagt und das beitragspflichtige Einkommen von damals in Höhe von Fr. 48'200.- (vgl. Urteil des BVGer C-341/2010 vom 5. März 2013) auf Fr. 62'600.- erhöht (vgl. Art. 18a VFV in Verbindung mit Art. 1 der Verordnung vom 11. Oktober 1972 über den Höchstansatz der Verwaltungskostenbeiträge in der AHV [SR 831.143.41]). Allerdings bildet die Veranlagung der Beiträge für 2009 Gegenstand des hängigen Verfahrens C-341/2010 vor dem Bundesverwaltungsgericht. Die Festsetzung des Beitrags für das Jahr 2009 auf Fr. 6'318.85 ist daher, unter dem Vorbehalt des Verfahrensausganges nicht zu beanstanden.</w:t>
      </w:r>
    </w:p>
    <w:p>
      <w:r>
        <w:rPr>
          <w:b/>
        </w:rPr>
        <w:t>E. 3.4</w:t>
      </w:r>
    </w:p>
    <w:p>
      <w:r>
        <w:t>Zusammenfassend ist somit festzuhalten, dass die Vorinstanz den Beitrag des Beschwerdeführers korrekt mittels einer amtlichen Veranlagung berechnet hat. Die Beschwerde ist daher abzuweisen.</w:t>
      </w:r>
    </w:p>
    <w:p>
      <w:r>
        <w:rPr>
          <w:b/>
        </w:rPr>
        <w:t>E. 4</w:t>
      </w:r>
    </w:p>
    <w:p>
      <w:r>
        <w:t>Zu befinden bleibt noch über die Verfahrenskosten und eine allfällige Parteientschädigung.</w:t>
      </w:r>
    </w:p>
    <w:p>
      <w:r>
        <w:rPr>
          <w:b/>
        </w:rPr>
        <w:t>E. 4.1</w:t>
      </w:r>
    </w:p>
    <w:p>
      <w:r>
        <w:t>Das Verfahren ist für die Parteien kostenlos (Art. 85bis Abs. 2 AHVG).</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Vorinstanz jedoch keinen Anspruch auf Parteientschädigung (Art. 7 Abs. 3 VGKE). Der unterliegende Beschwerdeführer hat als unterliegende Partei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