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C-1909/2009 vom 6. Oktober 2010</w:t>
      </w:r>
    </w:p>
    <w:p>
      <w:r>
        <w:t>Bundesverwaltungsgericht, 2010-10-06, FR</w:t>
      </w:r>
    </w:p>
    <w:p>
      <w:r>
        <w:rPr>
          <w:b/>
        </w:rPr>
        <w:t xml:space="preserve">Quelle: </w:t>
      </w:r>
      <w:r>
        <w:t>https://mcp.opencaselaw.ch/entscheid/bvger_C-1909_2009</w:t>
      </w:r>
    </w:p>
    <w:p>
      <w:r>
        <w:t>FR: TAF C-1909/2009 du 6 octobre 2010</w:t>
      </w:r>
    </w:p>
    <w:p>
      <w:r>
        <w:t>IT: TAF C-1909/2009 del 6 ottobre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dûment acquittée, le recours est recevable.</w:t>
      </w:r>
    </w:p>
    <w:p>
      <w:r>
        <w:rPr>
          <w:b/>
        </w:rPr>
        <w:t>E. 2.1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w:t>
      </w:r>
    </w:p>
    <w:p>
      <w:r>
        <w:rPr>
          <w:b/>
        </w:rPr>
        <w:t>E. 4.1</w:t>
      </w:r>
    </w:p>
    <w:p>
      <w:r>
        <w:t>Tout requérant doit remplir cumulativement les conditions suivantes pour avoir droit à une rente de l'assurance-invalidité suisse: être invalide au sens de la LPGA/LAI et compter au moins trois années de cotisations (art. 36 LAI). Dans ce cadre, les cotisations versées à une assurance sociale assimilée d'un État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4.2</w:t>
      </w:r>
    </w:p>
    <w:p>
      <w:r>
        <w:t>En l'occurrence, le recourant a versé des cotisations à l'AVS/AI pendant plus de trois ans au total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5.3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en Suisse comme serveur à la Clinique Y et à l'Hôtel Z de nombreuses années avant son retour en Espagne. De retour dans son pays, il a exercé les activités de chauffeur de camion puis d'agriculteur en qualité d'éleveur de lapins jusqu'au 28 mai 2008, date à partir de laquelle il a cessé de travailler. Jusqu'à cette date, il a pu travailler 8 heures par jour sans limitation pour raison de santé. Le Tribunal peut donc retenir qu'au moins jusqu'au 28 mai 2008, le recourant n'a pas présenté d'invalidité au sens de la législation suisse.</w:t>
      </w:r>
    </w:p>
    <w:p>
      <w:r>
        <w:rPr>
          <w:b/>
        </w:rPr>
        <w:t>E. 6.2</w:t>
      </w:r>
    </w:p>
    <w:p>
      <w:r>
        <w:t>Pour la période successive, en absence de données économiques, il faut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7</w:t>
      </w:r>
    </w:p>
    <w:p>
      <w:r>
        <w:t>En l'espèce, et selon l'avis unanime du médecin de l'INSS et de l'OAIE, il est établi que le recourant souffre principalement de cervico-lombalgies chroniques non déficitaires, dans un contexte de troubles dégénératifs étagés avancés. Les autres affections, notamment l'hypotrophie prostatique et le status après thyroïdectomie, n'ont aucune influence sur la capacité de travail.</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w:t>
      </w:r>
    </w:p>
    <w:p>
      <w:r>
        <w:t>Dans la décision entreprise et sa réponse au recours, l'autorité inférieure a estimé qu'A._______ ne présentait pas une incapacité de travail suffisante pour ouvrir le droit à une rente, dans la mesure où l'activité professionnelle exercée dans le secteur de l'agriculture en qualité d'éleveur de lapins est exigible à 70 pour cent. Le recourant a en substance avancé que les nombreuses pathologies dont il souffrait le rendaient inapte au travail.</w:t>
      </w:r>
    </w:p>
    <w:p>
      <w:r>
        <w:rPr>
          <w:b/>
        </w:rPr>
        <w:t>E. 9.1</w:t>
      </w:r>
    </w:p>
    <w:p>
      <w:r>
        <w:t>Il ressort du rapport E 213 du 9 septembre 2008 que bien que souffrant de protrusions discales (L3/L4, L4/L5 et L5/S1) dégénératives sur le segment lombaire sans preuve de sténose spinale secondaire significative, le recourant peut effectuer son travail d'éleveur de lapins à temps complet, il ne présente pas d'incapacité permanente et les seuls déficits fonctionnels sont limités aux activités intenses et continues.</w:t>
      </w:r>
    </w:p>
    <w:p>
      <w:r>
        <w:rPr>
          <w:b/>
        </w:rPr>
        <w:t>E. 9.2</w:t>
      </w:r>
    </w:p>
    <w:p>
      <w:r>
        <w:t>Selon la Dresse F._______, dans sa prise de position du 1er décembre 2008, le recourant souffre principalement de cervico-lombalgies dans un contexte de troubles dégénératifs avancés non déficitaires. Elle a estimé son incapacité de travail à 30 pour cent dès le 28 mai 2008. Les limitations fonctionnelles concernent le port de charge, les mouvements forcés du rachis, la station debout et la marche prolongée. Selon ce médecin, ces limitations sont relativement faibles et permettent de poursuivre l'activité d'éleveur de lapins. Bien que le rapport rhumatologique du 28 août 2008 mentionne des limitations plus importantes (perte de 40% des rotations cervicales et contractures douloureuses), la diminution de la mobilité lombaire en extension et latérisation n'est pas quantifiée et d'autre part il n'est pas fait mention d'un déficit neurologique ni d'une perte de force.</w:t>
      </w:r>
    </w:p>
    <w:p>
      <w:r>
        <w:rPr>
          <w:b/>
        </w:rPr>
        <w:t>E. 9.3</w:t>
      </w:r>
    </w:p>
    <w:p>
      <w:r>
        <w:t>Dans son recours, A._______ se limite à énumérer ses pathologies déjà connues. Le rapport manuscrit du 18 novembre 2008 du Dr. G._______ diagnostique une cervicarthrose avancée avec discopathie et protrusions et indique un traitement à suivre sur une période déterminée (2 à 6 mois suivant les médicaments), le rapport du 8 août 2008 ne fait que poser le diagnostic de cervicarthorse et de lumbarthrose et la pièce du 11 mai 2006 fait état de la prescription d'une ceinture élastique lombaire avec renfort postérieur. Les nouveaux documents médicaux apportés par le recourant ne s'expriment pas sur l'évaluation de sa capacité de travail ni ne plaident pour une aggravation de la maladie.</w:t>
      </w:r>
    </w:p>
    <w:p>
      <w:r>
        <w:rPr>
          <w:b/>
        </w:rPr>
        <w:t>E. 9.4</w:t>
      </w:r>
    </w:p>
    <w:p>
      <w:r>
        <w:t>Dans son rapport du 9 juin 2009, la Dresse F._______ confirme son avis médical du 1er décembre 2008. Elle note également que les nouveaux documents n'apportent aucun élément nouveau ni argument en faveur d'une aggravation. Selon ce médecin, en l'état, il n'y pas de pathologie justifiant une incapacité de travail significative et durable dans son activité.</w:t>
      </w:r>
    </w:p>
    <w:p>
      <w:r>
        <w:rPr>
          <w:b/>
        </w:rPr>
        <w:t>E. 9.5</w:t>
      </w:r>
    </w:p>
    <w:p>
      <w:r>
        <w:t>Rien au dossier ne permet de mettre en doute l'appréciation et les conclusions du service médical de l'OAIE, confirmées par le rapport E 213 du 9 septembre 2008, selon lequel l'intéressé a une capacité de travail de 70 pour cent dans son activité habituelle avec limitations pour le port de charge, mouvements forcés du rachis, station debout et marche prolongée. Au vu de ce qui précède, le Cour de céans peut considérer que le recourant est encore apte à exercer son activité habituelle dans une mesure de 70 pour cent au moins.</w:t>
      </w:r>
    </w:p>
    <w:p>
      <w:r>
        <w:rPr>
          <w:b/>
        </w:rPr>
        <w:t>E. 9.6</w:t>
      </w:r>
    </w:p>
    <w:p>
      <w:r>
        <w:t>Une comparaison du revenu sans invalidité avec le revenu d'invalide est donc superflue et ne se justifie pas. En effet, le recourant aurait pu continuer son activité habituelle dans une mesure excluant le droit à une rente d'invalidité suisse.</w:t>
      </w:r>
    </w:p>
    <w:p>
      <w:r>
        <w:rPr>
          <w:b/>
        </w:rPr>
        <w:t>E. 10</w:t>
      </w:r>
    </w:p>
    <w:p>
      <w:r>
        <w:t>Il s'en suit que le Tribunal de céans ne voit aucun motif de s'écarter de la décision du 9 février 2009, laquelle doit être confirmée et le recours rejeté.</w:t>
      </w:r>
    </w:p>
    <w:p>
      <w:r>
        <w:rPr>
          <w:b/>
        </w:rPr>
        <w:t>E. 11</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l'assurée, ainsi que son âge, ne sont pas des facteurs supplémentaires propres à influencer l'étendue de l'invalidité (ATF 107 V 21 consid. 2c; RCC 1991 p. 333 consid. 3c, 1989 p. 325 consid. 2b, 1982 p. 34 consid. 2c).</w:t>
      </w:r>
    </w:p>
    <w:p>
      <w:r>
        <w:rPr>
          <w:b/>
        </w:rPr>
        <w:t>E. 12.1</w:t>
      </w:r>
    </w:p>
    <w:p>
      <w:r>
        <w:t>Le recours étant manifestement infondé (voir en particulier consid. 9), la cause peut être traitée par le juge unique (art. 85bis al. 3 de la loi fédérale du 20 décembre 1946 sur l'assurance-vieillesse et survivants [LAVS, RS 831.10] applicable par le renvoi de l'art. 69 al. 2 LAI).</w:t>
      </w:r>
    </w:p>
    <w:p>
      <w:r>
        <w:rPr>
          <w:b/>
        </w:rPr>
        <w:t>E. 12.2</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12.3</w:t>
      </w:r>
    </w:p>
    <w:p>
      <w:r>
        <w:t>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