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C-1896/2012 vom 4. März 2014</w:t>
      </w:r>
    </w:p>
    <w:p>
      <w:r>
        <w:t>Bundesverwaltungsgericht, 2014-03-04, DE</w:t>
      </w:r>
    </w:p>
    <w:p>
      <w:r>
        <w:rPr>
          <w:b/>
        </w:rPr>
        <w:t xml:space="preserve">Quelle: </w:t>
      </w:r>
      <w:r>
        <w:t>https://mcp.opencaselaw.ch/entscheid/bvger_C-1896_2012</w:t>
      </w:r>
    </w:p>
    <w:p>
      <w:r>
        <w:t>FR: TAF C-1896/2012 du 4 mars 2014</w:t>
      </w:r>
    </w:p>
    <w:p>
      <w:r>
        <w:t>IT: TAF C-1896/2012 del 4 marzo 2014</w:t>
      </w:r>
    </w:p>
    <w:p>
      <w:pPr>
        <w:pStyle w:val="Heading2"/>
      </w:pPr>
      <w:r>
        <w:t>Regeste</w:t>
      </w:r>
    </w:p>
    <w:p>
      <w:r>
        <w:t>Einreiseverbot</w:t>
      </w:r>
    </w:p>
    <w:p>
      <w:pPr>
        <w:pStyle w:val="Heading2"/>
      </w:pPr>
      <w:r>
        <w:t>Erwägungen</w:t>
      </w:r>
    </w:p>
    <w:p>
      <w:r>
        <w:rPr>
          <w:b/>
        </w:rPr>
        <w:t>E. 1.1</w:t>
      </w:r>
    </w:p>
    <w:p>
      <w:r>
        <w:t>Verfügungen des BFM, mit denen ein Einreiseverbot im Sinne von Art. 67 AuG verhängt wird, unterliegen der Beschwerde an das Bundesverwaltungsgericht (Art. 112 Abs. 1 AuG i.V.m. Art. 31 ff. des Verwaltungsgerichtsgesetzes vom 17. Juni 2005 [VGG, SR 173.32]).</w:t>
      </w:r>
    </w:p>
    <w:p>
      <w:r>
        <w:rPr>
          <w:b/>
        </w:rPr>
        <w:t>E. 1.2</w:t>
      </w:r>
    </w:p>
    <w:p>
      <w:r>
        <w:t>Das Rechtsmittelverfahren vor dem Bundesverwaltungsgericht richtet sich nach dem Verwaltungsverfahrensgesetz vom 20. Dezember 1968 (VwVG, SR 172.021), soweit das Verwaltungsgerichtsgesetz nichts anderes bestimmt (Art. 37 VGG).</w:t>
      </w:r>
    </w:p>
    <w:p>
      <w:r>
        <w:rPr>
          <w:b/>
        </w:rPr>
        <w:t>E. 1.3</w:t>
      </w:r>
    </w:p>
    <w:p>
      <w:r>
        <w:t>Der Beschwerdeführer ist zur Erhebung des Rechtsmittels legitimiert (Art. 48 Abs. 1 VwVG). Auf die im Übrigen frist- und formgerecht eingereichte Beschwerde ist somit einzutreten (Art. 50 und 52 VwVG).</w:t>
      </w:r>
    </w:p>
    <w:p>
      <w:r>
        <w:rPr>
          <w:b/>
        </w:rPr>
        <w:t>E. 1.4</w:t>
      </w:r>
    </w:p>
    <w:p>
      <w:r>
        <w:t>Das Bundesverwaltungsgericht entscheidet in der vorliegenden Streit­sache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E.5.1 und BVGE 2011/1 E. 2).</w:t>
      </w:r>
    </w:p>
    <w:p>
      <w:r>
        <w:rPr>
          <w:b/>
        </w:rPr>
        <w:t>E. 3.1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Das BFM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w:t>
      </w:r>
    </w:p>
    <w:p>
      <w:r>
        <w:rPr>
          <w:b/>
        </w:rPr>
        <w:t>E. 3.2</w:t>
      </w:r>
    </w:p>
    <w:p>
      <w:r>
        <w:t>Das Einreiseverbot wird für eine Dauer von höchstens fünf Jahren verfügt. Für eine längere Dauer kann es angeordnet werden, wenn die betroffene Person eine schwerwiegende Gefahr für die öffentliche Sicherheit und Ordnung darstellt (Art. 67 Abs. 3 AuG). Aus humanitären oder anderen wichtigen Gründen kann die zuständige Behörde von der Verhängung eines Einreiseverbots absehen oder ein Einreiseverbot vollständig oder vorübergehend aufheben (Art. 67 Abs. 5 AuG).</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wie des Lebens, der Gesundheit, der Freiheit, des Eigentums usw. (vgl. BBl 2002 3809; vgl. auch Rainer J. Schweizer / Patrick Sutter / Nina Widmer, in: Rainer J. Schweizer [Hrsg.], Si­cherheits- und Ordnungsrecht des Bundes, SBVR Bd. III/1, Basel 2008, Teil B Rz. 13 mit Hinweisen). In diesem Sinne liegt nach Art. 80 Abs. 1 Bst. a der Verordnung vom 24. Oktober 2007 über Zulassung, Aufenthalt und Erwerbstätigkeit (VZAE, SR 142.201) ein Verstoss gegen die öffentliche Sicherheit und Ordnung un­ter anderem vor, wenn gesetzliche Vorschriften oder behördliche Verfü­gungen missachtet werden. Widerhandlungen gegen Normen des Ausländerrechts fallen ohne Weiteres unter diese Begriffsbestimmung und können als solche ein Einreiseverbot nach sich ziehen (vgl. BBl 2002 3813).</w:t>
      </w:r>
    </w:p>
    <w:p>
      <w:r>
        <w:rPr>
          <w:b/>
        </w:rPr>
        <w:t>E. 4.1</w:t>
      </w:r>
    </w:p>
    <w:p>
      <w:r>
        <w:t>In der angefochtenen Verfügung begründete die Vorinstanz die Fernhaltemassnahme einzig damit, dass die kantonale Migrationsbehörde mit rechtskräftiger Verfügung vom 8. März 2012 gegen den Beschwerdeführer gestützt auf Art. 64d Abs. 2 Bst. a AuG eine sofort vollstreckbare Wegweisung angeordnet hatte. Ein solcher Sachverhalt zieht nach ausdrücklicher Vorschrift von Art. 67 Abs. 1 Bst. a AuG als Regelfolge ein Einreiseverbot nach sich. Davon kann nur in rechtfertigungsbedürftigen Ausnahmefällen abgesehen werden.</w:t>
      </w:r>
    </w:p>
    <w:p>
      <w:r>
        <w:rPr>
          <w:b/>
        </w:rPr>
        <w:t>E. 4.2</w:t>
      </w:r>
    </w:p>
    <w:p>
      <w:r>
        <w:t>Weitere Fernhaltegründe im Sinne von Art. 67 Abs. 2 Bst. a AuG liegen in illegalem Aufenthalt und illegaler Erwerbstätigkeit begründet, derentwegen der Beschwerdeführer mit rechtskräftigem Strafbefehl der Staatsanwaltschaft See / Oberland (ZH) vom 7. März 2012 schuldig gesprochen wurde. Für ein Abweichen von der strafrichterlichen Erkenntnis besteht nämlich - wie im Folgenden noch zu zeigen ist - kein Anlass (zur Bindung der Administrativbehörde an die Erkenntnis des Strafrichters vgl. etwa Urteil des Bundesverwaltungsgerichts C-3333/2011 vom 19. September 2013 E. 7.4).</w:t>
      </w:r>
    </w:p>
    <w:p>
      <w:r>
        <w:rPr>
          <w:b/>
        </w:rPr>
        <w:t>E. 4.2.1</w:t>
      </w:r>
    </w:p>
    <w:p>
      <w:r>
        <w:t>Der Beschwerdeführer bestreitet nicht, dass er am 22. Januar 2011 in den Schengen-Raum eingereist, darin ohne Unterbruch verblieben ist und die Zeit zwischen Mai 2011 und Anfang März 2012 dauerhaft in der Schweiz verbracht hat. Damit aber schöpfte er bereits vor der Einreise in die Schweiz das Recht restlos aus, sich als nicht visumspflichtiger Ausländer während drei Monaten innerhalb einer Frist von sechs Monaten vom Datum der ersten Einreise an frei im Hoheitsgebiet der Schengen-Staaten zu bewegen, wenn und solange die übrigen Einreisevoraussetzungen erfüllt sind (vgl. die ursprüngliche und in casu massgebende Fassung von Art. 20 Abs. 1 des Übereinkommens vom 19. Juni 1990 zur Durchführung des Übereinkommens betreffend den schrittweisen Abbau der Kontrollen an den gemeinsamen Grenzen [Schengener Durchführungsübereinkommen, SDÜ, Abl. L 239 vom 22. September 2000 S. 19-62]). Da der Aufenthalt im Schengen-Raum an den dreimonatigen bewilligungsfreien Aufenthalt angerechnet wird, den Art. 10 Abs. 1 AuG nicht erwerbstätigen Ausländerinnen und Ausländern einräumt, bedurfte der Beschwerdeführer in der Schweiz vom ersten Tag seines Aufenthaltes an einer Bewilligung. Über eine solche Bewilligung verfügte er jedoch nicht. Sein gesamter Aufenthalt in der Schweiz von rund 10 Monaten erweist sich daher als rechtswidrig (vgl. Urteil des Bundesverwaltungsgerichts C-3333/2011 vom 19. September 2013 E. 7.1 und 7.2).</w:t>
      </w:r>
    </w:p>
    <w:p>
      <w:r>
        <w:rPr>
          <w:b/>
        </w:rPr>
        <w:t>E. 4.2.2</w:t>
      </w:r>
    </w:p>
    <w:p>
      <w:r>
        <w:t>Illegal war auch die vom Beschwerdeführer in der Schweiz ausgeübte Arbeitstätigkeit. Eine solche ist nach schweizerischem Recht unabhängig von der Aufenthaltsdauer bewilligungspflichtig und muss vor Antritt der Tätigkeit geregelt werden (Art. 11 Abs. 1 AuG). Dass die vom Beschwerdeführer ausgeübte Tätigkeit als unselbständige Erwerbstätigkeit im Sinne des Gesetzes einzustufen war, kann nicht ernsthaft in Frage gestellt werden. Als solche gilt jede üblicherweise gegen Entgelt ausgeübte unselbständige oder selbständige Tätigkeit, selbst wenn sie unentgeltlich erfolgt (Art. 11 Abs. 2 AuG).</w:t>
      </w:r>
    </w:p>
    <w:p>
      <w:r>
        <w:rPr>
          <w:b/>
        </w:rPr>
        <w:t>E. 5.1</w:t>
      </w:r>
    </w:p>
    <w:p>
      <w:r>
        <w:t>Bleibt zu prüfen, ob die angeordnete Massnahme dem Grundsatz nach und in ihrer zeitlichen Ausgestaltung in richtiger Ausübung des Ermessens ergangen und angemessen ist. Dem Prinzip der Verhältnismässigkeit kommt dabei zentrale Bedeutung zu.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 / Georg Müller / Felix Uhlmann, Allgemeines Verwaltungsrecht, 6. Aufl., Zürich/St. Gallen 2010, Rz. 613 ff.).</w:t>
      </w:r>
    </w:p>
    <w:p>
      <w:r>
        <w:rPr>
          <w:b/>
        </w:rPr>
        <w:t>E. 5.2</w:t>
      </w:r>
    </w:p>
    <w:p>
      <w:r>
        <w:t>Das Fehlverhalten des Beschwerdeführers wiegt objektiv nicht leicht. Es beinhaltet die Missachtung ausländerrechtlicher Normen, welchen im Interesse einer funktionierenden Rechtsordnung zentrale Bedeutung zukommt. Aber auch was die subjektive Seite anbelangt, ist das Verhalten des Beschwerdeführers nicht zu bagatellisieren. So war ihm bewusst, dass er sich viel zu lange in der Schweiz beziehungsweise im Schengenraum aufhielt. Eine nachvollziehbare Erklärung für sein diesbezügliches Fehlverhalten lieferte er nicht. Ihm musste im Weiteren auch bewusst gewesen sein, dass seine Arbeitseinsätze bewilligungspflichtig gewesen wären. Von vorsätzlichen Zuwiderhandlungen ging im Übrigen auch die Strafbehörde aus. Unter den gegebenen Umständen ist zweifellos ein gewichtiges öffentliches Interesse an einer befristeten Fernhaltung des Beschwerdeführers vorhanden.</w:t>
      </w:r>
    </w:p>
    <w:p>
      <w:r>
        <w:rPr>
          <w:b/>
        </w:rPr>
        <w:t>E. 5.3</w:t>
      </w:r>
    </w:p>
    <w:p>
      <w:r>
        <w:t>In persönlicher Hinsicht wendet der Beschwerdeführer ein, die Massnahme beeinträchtige seine sportliche und persönliche Laufbahn. Er hat es allerdings unterlassen, sein bisheriges Engagement und seine Pläne in sportlicher und beruflicher Hinsicht offen zu legen. Entsprechend kann auch nicht beurteilt werden, inwieweit er durch die Massnahme tatsächlich in seiner Lebensgestaltung eingeschränkt wird. Im Übrigen geht der Beschwerdeführer offenbar irrtümlicherweise davon aus, das Einreiseverbot für die Schweiz gelte absolut. In begründeten Fällen hat er die Möglichkeit, eine zeitweilige Suspension der Fernhaltemassnahme zu beantragen (vgl. Art. 67 Abs. 5 AuG).</w:t>
      </w:r>
    </w:p>
    <w:p>
      <w:r>
        <w:rPr>
          <w:b/>
        </w:rPr>
        <w:t>E. 5.4</w:t>
      </w:r>
    </w:p>
    <w:p>
      <w:r>
        <w:t>Eine wertende Gewichtung der sich entgegenstehenden öffentlichen und privaten Interessen führt das Bundesverwaltungsgericht zum Schluss, dass das auf drei Jahre befristete Einreiseverbot sowohl vom Grundsatz her als auch in Bezug auf seine Dauer eine verhältnismässige und angemessene Massnahme zum Schutze der öffentlichen Sicherheit und Ordnung darstellt.</w:t>
      </w:r>
    </w:p>
    <w:p>
      <w:r>
        <w:rPr>
          <w:b/>
        </w:rPr>
        <w:t>E. 6.1</w:t>
      </w:r>
    </w:p>
    <w:p>
      <w:r>
        <w:t>Gemäss Art. 21 und Art. 24 der Verordnung (EG) Nr. 1987/2006 vom 20. Dezember 2006 über die Einrichtung, den Betrieb und die Nutzung des Schengener Informationssystems der zweiten Generation (SIS II) (SIS-II-Verordnung, Abl. L 381 vom 28. Dezember 2006, S. 4-239) - die per 9. April 2013 die in den hier relevanten Punkten inhaltlich gleichen Art. 94 und Art. 96 des Schengener Durchführungsübereinkommen abgelöst haben (vgl. den Beschluss des Rates 2013/158/EU vom 7. März 2013, Abl. L 87 vom 27. März 2013, S. 10-11, i.V.m. Art. 52 Abs. 1 SIS-II-VO) - wird ein Einreiseverbot gegen Drittstaatsangehörige im Sinne von Art. 3 Bst. d SIS-II-Verordnung im SIS ausgeschrieben, wenn die Relevanz und Bedeutung des Falles eine Ausschreibung rechtfertigen. Voraussetzung der Ausschreibung im SIS ist eine nationale Ausschreibung, die gestützt auf eine Entscheidung der zuständigen nationalen Instanzen ergeht (Art. 24 Ziff. 1 SIS-II-Verordnung). Eine Ausschreibung kann auch eingegeben werden, wenn die genannte Entscheidung darauf beruht, dass der Drittstaatsangehörige ausgewiesen, zurückgewiesen oder abgeschoben worden ist, wobei die Maßnahme nicht aufgehoben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 (Art. 24 Ziff. 3 SIS-II-Verordnung).</w:t>
      </w:r>
    </w:p>
    <w:p>
      <w:r>
        <w:rPr>
          <w:b/>
        </w:rPr>
        <w:t>E. 6.2</w:t>
      </w:r>
    </w:p>
    <w:p>
      <w:r>
        <w:t>Die Ausschreibung bewirkt, dass der betroffenen Person die Einreise in das Hoheitsgebiet aller Schengen-Mitgliedstaaten verboten ist (vgl. Art. 5 Abs. 1 Bst. d und Art. 13 Abs. 1 der Verordnung [EG] Nr. 562/2006 des Europäischen Parlaments und des Rates vom 15. März 2006 über einen Gemeinschaftskodex für das Überschreiten der Grenzen durch Personen [Schengener Grenzkodex, SGK, Abl. L 105 vom 13. April 2006, S. 1-32]). Die Mitgliedstaaten können einer solchen Person aus humanitären Gründen oder Gründen des nationalen Interesses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6.3</w:t>
      </w:r>
    </w:p>
    <w:p>
      <w:r>
        <w:t>Der Beschwerdeführer ist nicht Staatsangehöriger eines zum Schengen-Raum gehörigen Staates. Aufgrund der Ausschreibung im SIS ist es ihm untersagt, in den Schengen-Raum einzureisen. Der darin liegende Eingriff wird durch die Bedeutung des Falles gerechtfertigt (vgl. Art. 21 i.V.m. Art. 24 Ziff. 3 SIS-II-Verordnung). Dies gilt umso mehr, als die Schweiz im Geltungsbereich des Schengen-Rechts die Interessen der Gesamtheit aller Schengen-Staaten zu wahren hat (vgl. BVGE 2011/48 E. 6.1). Wie erwähnt, bleibt es den einzelnen Schengen-Staaten unbenommen, der ausgeschriebenen Person bei Vorliegen besonderer Gründe die Einreise ins eigene Hoheitsgebiet zu gestatten (vgl. auch Art. 67 Abs. 5 AuG). Die Voraussetzungen für die Ausschreibung des Einreiseverbots sind demnach erfüllt.</w:t>
      </w:r>
    </w:p>
    <w:p>
      <w:r>
        <w:rPr>
          <w:b/>
        </w:rPr>
        <w:t>E. 7</w:t>
      </w:r>
    </w:p>
    <w:p>
      <w:r>
        <w:t>Die Vorinstanz hat mit der angefochtenen Verfügung Bundesrecht nicht verletzt und den rechtserheblichen Sachverhalt richtig und vollständig feststellt. Die Verfügung ist auch angemessen (Art. 49 VwVG). Die Beschwerde ist daher abzuweisen.</w:t>
      </w:r>
    </w:p>
    <w:p>
      <w:r>
        <w:rPr>
          <w:b/>
        </w:rPr>
        <w:t>E. 8</w:t>
      </w:r>
    </w:p>
    <w:p>
      <w:r>
        <w:t>Entsprechend dem Ausgang des Verfahrens sind dem Beschwerdeführer die Kosten aufzuerlegen (Art. 63 Abs. 1 VwVG i.V.m. Art. 1, Art. 2 und Art. 3 Bst. b des Reglements vom 21. Februar 2008 über die Kosten und Entschädigungen vor dem Bundesverwaltungsgericht (SR 173.320.2).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