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C-188/2006 vom 30. Mai 2008</w:t>
      </w:r>
    </w:p>
    <w:p>
      <w:r>
        <w:t>Bundesverwaltungsgericht, 2008-05-30, FR</w:t>
      </w:r>
    </w:p>
    <w:p>
      <w:r>
        <w:rPr>
          <w:b/>
        </w:rPr>
        <w:t xml:space="preserve">Quelle: </w:t>
      </w:r>
      <w:r>
        <w:t>https://mcp.opencaselaw.ch/entscheid/bvger_C-188_2006</w:t>
      </w:r>
    </w:p>
    <w:p>
      <w:r>
        <w:t>FR: TAF C-188/2006 du 30 mai 2008</w:t>
      </w:r>
    </w:p>
    <w:p>
      <w:r>
        <w:t>IT: TAF C-188/2006 del 30 maggio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 Les recours pendants devant les commissions fédérales de recours ou d'arbitrage ou devant les services de recours des départements au 1er janvier 2007 sont traitées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l'occurrence.</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 Le recourant, qui est directement touché par la décision attaquée, a qualité pour recourir (art. 48 al. 1 PA). Le recours, présenté dans la forme et les délais prescrits par la loi,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3.1</w:t>
      </w:r>
    </w:p>
    <w:p>
      <w:r>
        <w:t>Le recourant reproche en premier lieu à l'autorité intimée d'avoir violé son droit d'être entendu, ne lui ayant pas donné la possibilité de communiquer ses observations avant le prononcé de l'interdiction d'entrée en Suisse.</w:t>
      </w:r>
    </w:p>
    <w:p>
      <w:r>
        <w:rPr>
          <w:b/>
        </w:rPr>
        <w:t>E. 3.2</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132 V 368 consid. 3.1, ATF 129 II 497 consid. 2.2 et réf. citées; JAAC 63.66 consid. 2).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Cependant, le droit d'être entendu ne confère pas un droit de s'exprimer oralement devant l'organe de décision (ATF 130 II 425 consid. 2.1; 125 I 209 consid. 9b et réf. citées).</w:t>
      </w:r>
    </w:p>
    <w:p>
      <w:r>
        <w:rPr>
          <w:b/>
        </w:rPr>
        <w:t>E. 3.3</w:t>
      </w:r>
    </w:p>
    <w:p>
      <w:r>
        <w:t>Dans le cas présent, l'ODM n'a certes donné à aucun moment à l'intéressé l'occasion de se déterminer sur les motifs de l'interdiction d'entrée qu'il envisageait de prendre. Semblable omission ne saurait néanmoins justifier, au vu des circonstances du cas, l'annulation de l'interdiction d'entrée. En effet,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130 II 530 consid. 7.3; 127 V 431 consid. 3d/aa; 126 V 130 consid. 2b). En l'espèce, le recourant a eu la faculté de s'exprimer de manière complète et détaillée sur les motifs avancés par l'ODM à l'appui de sa décision. Par ailleurs, le TAF dispose d'une pleine cognition et peut revoir aussi bien les questions de droit que les constatations de fait établies par l'autorité inférieure ou encore l'opportunité de sa décision (art. 49 et art. 61 PA). En conséquence, même si l'on devait considérer que l'autorité intimée n'a pas respecté le droit d'être entendu de l'intéressé, il faut constater que ce vice a été réparé dans le cadre de la procédure de recours. En particulier, le recourant a eu l'occasion d'exposer in extenso sa situation personnelle et professionnelle, tant dans son mémoire de recours du 31 octobre 2006 qu'au cours de plusieurs échanges d'écritures ultérieurs (cf. notamment courriers du 22 février et du 10 mai 2007). Dans ces circonstances, le moyen tiré de la violation du droit d'être entendu doit être écarté.</w:t>
      </w:r>
    </w:p>
    <w:p>
      <w:r>
        <w:rPr>
          <w:b/>
        </w:rPr>
        <w:t>E. 4.1</w:t>
      </w:r>
    </w:p>
    <w:p>
      <w:r>
        <w:t>Tout étranger a le droit de résider sur le territoire suisse s'il est au bénéfice d'une autorisation de séjour ou d'établissement, ... ou si, selon la présente loi, il n'a pas besoin d'une telle autorisation (art. 1a aLSEE). L'étranger est tenu de déclarer son arrivée en Suisse, dans les trois mois, à la police des étrangers de son lieu de résidence pour le règlement de ses conditions de résidence. Les étrangers entrés dans l'intention de prendre domicile ou d'exercer une activité lucrative doivent faire leur déclaration dans les huit jours et en tout cas avant de prendre un emploi (cf. art. 2 al. 1 aLSEE). L'étranger qui n'est au bénéfice d'aucune autorisation peut être tenu en tout temps de quitter la Suisse (art. 12 al. 1 aLSEE). L'étranger qui aura exercé une activité lucrative sans autorisation sera, en règle générale, contraint de quitter la Suisse (cf. art. 3 al. 3 aRSEE).</w:t>
      </w:r>
    </w:p>
    <w:p>
      <w:r>
        <w:rPr>
          <w:b/>
        </w:rPr>
        <w:t>E. 4.2</w:t>
      </w:r>
    </w:p>
    <w:p>
      <w:r>
        <w:t>L'autorité fédérale peut interdire l'entrée en Suisse d'étrangers indésirables.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Tant que l'interdiction d'entrée est en vigueur, l'étranger ne peut franchir la frontière sans la permission expresse de l'autorité qui l'a prononcée (art. 13 al. 1 aLSEE). Constitue une violation grave au regard de la police des étrangers, notamment le fait de séjourner et/ou de travailler en Suisse sans autorisation (Jurisprudence des autorités administratives de la Confédération [JAAC] 63.38 consid. 13). L'interdiction d'entrée en Suisse n'est pas une peine et n'a aucun caractère infamant. Elle constitue une mesure de contrôle qui vise à empêcher un étranger de revenir en Suisse à l'insu des autorités (cf. notamment sur les points qui précèdent l'arrêt du Tribunal administratif fédéral C-118/2006 du 14 septembre 2007, consid. 3.5 et 3.6, et jurisprudence citée).</w:t>
      </w:r>
    </w:p>
    <w:p>
      <w:r>
        <w:rPr>
          <w:b/>
        </w:rPr>
        <w:t>E. 5.1</w:t>
      </w:r>
    </w:p>
    <w:p>
      <w:r>
        <w:t>En l'espèce, il n'est pas contesté que le recourant est entré en Suisse en 1990 et qu'il y a résidé et travaillé illégalement durant de nombreuses années. Cela ressort tant des pièces produites dans le cadre de la procédure de régularisation ouverte devant le SPOP que des déclarations de X._______ lui-même (cf. lettre explicative du 6 septembre 2004). Auparavant, le recourant, qui avait été appréhendé en situation irrégulière en août 1995, avait également reconnu avoir vécu chez son frère et avoir exercé diverses activités sans disposer des autorisations idoines (cf. procès-verbal d'audition de la police municipale de Lausanne du 11 août 1995). Ces faits avaient justifié le prononcé d'une condamnation pénale et d'une première interdiction d'entrée valable du 13 septembre 1995 au 12 septembre 1997, que le recourant n'a pas respecté puisqu'au cours de cette période, il s'est notamment formé comme réalisateur vidéo auprès de A._______ (de 1995 à 1997) et a été employé de novembre 1996 à août 1998 en tant qu'assistant dans la réalisation vidéo-photo pour le compte de B._______.</w:t>
      </w:r>
    </w:p>
    <w:p>
      <w:r>
        <w:rPr>
          <w:b/>
        </w:rPr>
        <w:t>E. 5.2</w:t>
      </w:r>
    </w:p>
    <w:p>
      <w:r>
        <w:t>Dans le cadre de son recours, X._______ soutient que son comportement ne saurait être qualifié de grave dans la mesure où il a cherché à obtenir une autorisation de séjour pour cas personnel d'extrême gravité, démarche que le SPOP a appuyée. Toutefois, l'ouverture d'une procédure de régularisation au niveau cantonal ne saurait suffire à effacer le caractère illicite, dans la durée, du comportement du recourant. Affirmer le contraire reviendrait à vider en grande partie de leur sens les prescriptions relatives au séjour et à la prise d'emploi en Suisse. Au demeurant, bien que le SPOP ait donné un préavis favorable, force est de constater que les autorités fédérales ont rejeté définitivement la requête de l'intéressé visant à être excepté des mesures de limitation, ce dernier n'en remplissant pas les conditions. Aussi, les infractions dont X._______ s'est rendu coupable doivent, en considération des dispositions qui régissent le séjour et l'établissement des étrangers en ce pays, être qualifiées de graves (cf. JAAC précitée et 63.2 consid. 14.2). Celles-ci sont du reste expressément réprimées par les dispositions pénales contenues dans l'aLSEE (art. 23 al. 1 aLSEE). Il existe ainsi un intérêt public à tenir le recourant éloigné de Suisse durant une certaine période et, cas échéant, à contrôler ses éventuelles allées et venues sur le territoire helvétique. Au vu de l'art. 13 al. 1 phr. 2 aLSEE, l'interdiction d'entrée en Suisse prononcée par l'office fédéral s'avère donc parfaitement fondée dans son principe.</w:t>
      </w:r>
    </w:p>
    <w:p>
      <w:r>
        <w:rPr>
          <w:b/>
        </w:rPr>
        <w:t>E. 6.1</w:t>
      </w:r>
    </w:p>
    <w:p>
      <w:r>
        <w:t>Il convient encore d'examiner si la durée de la mesure d'interdiction d'entrée en Suisse respecte le principe de la proportionnalité. Une décision satisfait à ce principe lorsqu'elle est adéquate et nécessaire, et qu'il existe un rapport raisonnable entre le but recherché par la mesure prise et la restriction à la liberté personnelle qui en résulte pour l'intéressé (cf. ATF 130 I 65 consid. 3.5.1, ATF 128 II 292 consid 5.1, ATF 126 I 219 consid. 2c ; JAAC 64.36 consid. 4b et JAAC 63.1 consid. 12c ; cf. également Blaise Knapp, Précis de droit administratif, Bâle et Francfort-sur-le-Main 1991, p. 113ss, nos 533ss ; André Grisel, Traité de droit administratif, Neuchâtel 1984, vol. I, p. 348ss). Compte tenu du nombre élevé de contraventions commises par la main-d'oeuvre étrangère, les autorités sont contraintes d'intervenir avec sévérité. Il y va de la lutte contre les travailleurs clandestins et de la stricte application des prescriptions édictées par le Conseil fédéral en matière de contingentement des étrangers exerçant une activité lucrative.</w:t>
      </w:r>
    </w:p>
    <w:p>
      <w:r>
        <w:rPr>
          <w:b/>
        </w:rPr>
        <w:t>E. 6.2</w:t>
      </w:r>
    </w:p>
    <w:p>
      <w:r>
        <w:t>En l'occurrence, le Tribunal se doit d'apporter un jugement nuancé: D'un côté, il relève que le recourant n'a pas manifesté une réelle volonté de respecter les décisions des autorités administratives et l'ordre juridique suisse. Ainsi, malgré la notification au recourant, début octobre 2006, de la décision d'interdiction d'entrée et son refoulement vers la France, il a tenté de franchir une nouvelle fois la frontière le 27 octobre 2006. Les explications selon lesquelles il n'avait pas été informé du retrait de l'effet suspensif ne convainquent pas le Tribunal. En effet, à cette date, le recourant n'avait pas encore déposé son recours et le TAF cherche en vain, dans l'argumentation avancée, une raison qui lui aurait laissé penser que l'entrée en Suisse lui était soudainement autorisée. Son interpellation à Lausanne en février 2007 a confirmé, une fois encore, son peu d'empressement à se conformer aux injonctions des autorités. Au vu des antécédents du recourant sur sol helvétique et des difficultés qu'il éprouve à observer les réglementations en vigueur, un contrôle de ses déplacements sur une durée de trois ans n'apparaît pas, en soi, excessif. De l'autre, le Tribunal remarque que la situation administrative et familiale de X._______ a évolué favorablement. Ce dernier est désormais établi légalement en France avec son épouse et sa fille, ce qui permet d'écarter le risque de le voir répéter un séjour clandestin de longue durée sur territoire helvétique. D'un point de vue professionnel, si l'hypothèse de voir le recourant étendre son activité en Suisse ne peut être totalement exclue étant donné les contacts et les relations dont il dispose en ce pays, cette éventualité n'apparaît pas, à la lecture des pièces du dossier, comme étant la plus vraisemblable. En effet, l'intéressé est inscrit en France comme indépendant et il a, à ce jour, obtenu plusieurs mandats exclusivement dans le département de Haute-Savoie. Par ailleurs, depuis février 2007, date de sa dernière rupture de ban, X._______ s'est, semble-t-il, décidé à respecter l'interdiction qui lui était faite de pénétrer sur territoire suisse. Enfin, installé à Saint-Julien-en-Genevois, les restrictions à sa liberté de déplacement et l'impossibilité de se rendre à Genève se font plus lourdement sentir pour lui que pour la moyenne des personnes touchées par une interdiction d'entrée, ce dont le Tribunal peut également tenir compte dans son appréciation. Pour ces différentes raisons, le Tribunal est d'avis que, tout bien considéré, la durée de l'interdiction d'entrée peut être ramenée à deux ans, soit une durée adaptée à la situation particulière que connaît X._______.</w:t>
      </w:r>
    </w:p>
    <w:p>
      <w:r>
        <w:rPr>
          <w:b/>
        </w:rPr>
        <w:t>E. 7.1</w:t>
      </w:r>
    </w:p>
    <w:p>
      <w:r>
        <w:t>Partant, le recours est partiellement admis et la décision de l'ODM du 31 août 2006 est réformée en ce sens que les effets de l'interdiction d'entrée sont limités au 30 août 2008.</w:t>
      </w:r>
    </w:p>
    <w:p>
      <w:r>
        <w:rPr>
          <w:b/>
        </w:rPr>
        <w:t>E. 7.2</w:t>
      </w:r>
    </w:p>
    <w:p>
      <w:r>
        <w:t>Cela étant, il y a lieu de mettre des frais réduits à la charge du recourant (art. 63 al. 1 PA en relation avec les art. 1 à 3 du règlement du 11 décembre 2006 concernant les frais, dépens et indemnités fixés par le Tribunal administratif fédéral [FITAF, RS 173.320.2]).</w:t>
      </w:r>
    </w:p>
    <w:p>
      <w:r>
        <w:rPr>
          <w:b/>
        </w:rPr>
        <w:t>E. 7.3</w:t>
      </w:r>
    </w:p>
    <w:p>
      <w:r>
        <w:t>Obtenant partiellement gain de cause, il convient d'accorder au recourant des dépens réduits (art. 64 al. 1 PA en relation avec l'art. 7 al. 2 FITAF). X._______ ayant été représenté par un mandataire professionnel, le Tribunal estime, au regard des art. 8ss FITAF, que le versement de Fr. 400.-- (TVA comprise) à titre d'indemnité pour les frais nécessaires causés par le litige apparaît comme équitable.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