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C-1883/2011 vom 29. August 2011</w:t>
      </w:r>
    </w:p>
    <w:p>
      <w:r>
        <w:t>Bundesverwaltungsgericht, 2011-08-29, FR</w:t>
      </w:r>
    </w:p>
    <w:p>
      <w:r>
        <w:rPr>
          <w:b/>
        </w:rPr>
        <w:t xml:space="preserve">Quelle: </w:t>
      </w:r>
      <w:r>
        <w:t>https://mcp.opencaselaw.ch/entscheid/bvger_C-1883_2011</w:t>
      </w:r>
    </w:p>
    <w:p>
      <w:r>
        <w:t>FR: TAF C-1883/2011 du 29 août 2011</w:t>
      </w:r>
    </w:p>
    <w:p>
      <w:r>
        <w:t>IT: TAF C-1883/2011 del 29 agosto 2011</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sur réexamen rendues par l'ODM (qui constitue une unité de l'administration fédérale au sens de l'art. 33 let. d LTAF) en matière d'interdiction d'entrée sont susceptibles de recours au TAF, qui statue de manière définitive (cf. art. 1 al. 2 LTAF en relation avec l'art. 83 let. c ch. 1 de la loi du 17 juin 2005 sur le Tribunal fédéral [LTF, RS 173.110]; cf. consid. 3.2 infra).</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TAF, qui applique d'office le droit fédéral, n'est pas lié par les motifs invoqués à l'appui du recours (cf. art. 62 al. 4 PA). Aussi peut-il admettre ou rejeter le pourvoi pour d'autres motifs que ceux invoqués. Dans son arrêt, il prend en consi­dération l'état de fait et de droit régnant au moment où il statue (cf. arrêt du TF 2A.451/2002 du 28 mars 2003 [partiellement publié in: ATF 129 II 215] consid. 1.2, et la jurisprudence citée; ATF 135 II 369 consid. 3.3 p. 374; ATAF 2007/41 consid. 2 p. 529s.; arrêt du TAF C-1126/2009 du 20 juin 2011 consid. 2, et la jurisprudence citée).</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(cf. Ursina Beerli-Bo­no­­rand, Die ausserordentlichen Rechts­­­­­mit­tel in der Verwaltungs­rechts­pfle­ge des Bundes und der Kantone, Zurich 1985, p. 45s., 80s. et 171ss; sur la distinction entre la révision et le réexamen lorsque la cause a fait l'objet d'une décision matérielle sur recours, cf. Jurisprudence et informa­tions de la Commis­sion suisse de recours en matière d'asile [JICRA] 1995 n° 21 consid. 1c p. 204).</w:t>
      </w:r>
    </w:p>
    <w:p>
      <w:r>
        <w:rPr>
          <w:b/>
        </w:rPr>
        <w:t>E. 3.2</w:t>
      </w:r>
    </w:p>
    <w:p>
      <w:r>
        <w:t>En l'espèce, la décision d'interdiction d'en­trée rendue le 9 mars 2009 à l'endroit de A._______ est entrée en force de chose jugée formelle sans que le Tribunal - bien qu'il ait été saisi d'un recours - n'ait été amené à prononcer une décision matérielle, autrement dit à statuer sur le fond de l'affaire (cf. let. B.c supra). Seule la voie du réexamen devant l'autorité inférieure était dès lors ouverte dans le cadre de la présente cause. C'est donc à juste titre que l'ODM a qualifié la requête du prénommé du 19 janvier 2011 de demande de réexamen.</w:t>
      </w:r>
    </w:p>
    <w:p>
      <w:r>
        <w:rPr>
          <w:b/>
        </w:rPr>
        <w:t>E. 4.1</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de la Constitution fédérale de la Confédération suisse du 18 avril 1999 (Cst., RS 101).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p. 181, ATF 127 I 133 consid. 6 p. 137s., et la jurisprudence citée; ATAF 2010/5 consid. 2.1.1 p. 59, et la jurisprudence et doc­­tri­­ne citées).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précité consid. 2.2.1 p. 181s., ATF 131 II 329 consid. 3.2 p. 336s.) La procédure extraordi­nai­re ne saurait toutefois servir de prétexte pour remettre continuellement en question des décisions entrées en force, ni sur­­tout viser à éluder les dispositions léga­les sur les délais de recours (cf. ATF 136 II précité consid. 2.1 p. 181, ATF 127 I préci­té, loc. cit., et la juris­pru­dence citée).</w:t>
      </w:r>
    </w:p>
    <w:p>
      <w:r>
        <w:rPr>
          <w:b/>
        </w:rPr>
        <w:t>E. 4.2</w:t>
      </w:r>
    </w:p>
    <w:p>
      <w:r>
        <w:t>Lorsque l'autorité de première instance n'est pas entrée en matière sur une demande de réexamen, le requérant peut simplement recourir en alléguant que l'autorité a nié à tort l'existence des conditions requises pour l'obliger à statuer au fond, et l'autorité de recours ne peut qu'inviter cette dernière à examiner la demande au fond, si elle admet le recours (cf. ATF 123 V 335 consid. 1b p. 336ss, ATF 118 Ib 134 consid. 2 p. 135s., ATF 109 Ib 246 consid. 4a p. 250ss, et la jurispru­den­ce et doctrine citées; ATAF 2010/5 précité, loc. cit.). Aussi, dans la mesure où la demande de réexamen à la base de la présente procédure n'a pas fait l'objet d'un examen au fond, la conclusion du recourant tendant à la levée immédiate de l'interdiction d'entrée prononcée à son endroit s'avère-t-elle irrecevable.</w:t>
      </w:r>
    </w:p>
    <w:p>
      <w:r>
        <w:rPr>
          <w:b/>
        </w:rPr>
        <w:t>E. 5.1</w:t>
      </w:r>
    </w:p>
    <w:p>
      <w:r>
        <w:t>En l'espèce, le Tribunal constate, à l'instar de l'ODM, que A._______ n'a invoqué, dans le cadre de la présente procédure extraordinaire, aucun fait nouveau pertinent susceptible de justifier qu'il soit entré en matière sur ses griefs.</w:t>
      </w:r>
    </w:p>
    <w:p>
      <w:r>
        <w:rPr>
          <w:b/>
        </w:rPr>
        <w:t>E. 5.1.1</w:t>
      </w:r>
    </w:p>
    <w:p>
      <w:r>
        <w:t>En effet, les liens unissant le recourant à son fils aîné (X._______), à son deuxième enfant (Y._______) et à la mère de ce dernier (C._______), avec laquelle il aurait vécu en ménage commun depuis l'an­née 2004 (cf. let. C.a supra), ne cons­ti­tuent nullement des faits nou­veaux puisqu'ils sont largement anté­rieurs à la décision d'inter­dic­tion d'en­­trée du 9 mars 2009. Force est d'ailleurs de constater que le TF, dans son arrêt du 11 no­vem­bre 2005, de même que le TC du canton du Valais, dans son juge­ment du 7 dé­cem­bre 2006, avaient tenu compte des attaches familiales et affectives de A._______ sur le territoire helvétique, avant de se prononcer en faveur de l'éloignement du prénommé de Suisse, après une pesée des intérêts en présence (cf. con­sid. A.c et A.e supra). L'appréciation de ces tribunaux est au demeurant parfaitement justifiée. En effet, conformément à la jurisprudence constante, il convient en règle générale de refuser une autorisation de séjour au conjoint étran­ger d'un citoyen suisse ou d'un ressortissant étranger titulaire d'une autorisation d'établisse­ment et de pro­non­cer à son endroit une mesure d'éloignement lorsque les peines pri­va­­tives de liberté qui lui ont été infligées, cumulées entre elles, atteignent le seuil de 24 mois (cf. ATF 134 II 10 consid. 4.3 p. 23ss, ATF 130 II 176 con­sid. 4.1 p. 185, et la juris­pruden­ce citée), limite qui est très largement dépassée dans le cas particulier. Ce raisonnement s'applique a fortiori à des personnes non mariées qui sont - de surcroît - des compatriotes (telles A._______ et C._______), dont on peut raisonnablement exiger qu'ils concrétisent leur vie affective et familiale dans leur pays d'origine commun (cf. let. A.d supra).</w:t>
      </w:r>
    </w:p>
    <w:p>
      <w:r>
        <w:rPr>
          <w:b/>
        </w:rPr>
        <w:t>E. 5.1.2</w:t>
      </w:r>
    </w:p>
    <w:p>
      <w:r>
        <w:t>En outre, on ne voit pas quelle incidence la reconnaissance officielle de la citoyenneté de A._______ par les autorités de la République de Serbie (lesquelles avaient accepté de le réadmettre lors de son refoulement au mois de mars 2009) et son divorce d'avec B._______ pourraient avoir sur la présente cause. Ces éléments ne sont donc pas pertinents.</w:t>
      </w:r>
    </w:p>
    <w:p>
      <w:r>
        <w:rPr>
          <w:b/>
        </w:rPr>
        <w:t>E. 5.1.3</w:t>
      </w:r>
    </w:p>
    <w:p>
      <w:r>
        <w:t>On rappellera par ailleurs que lorsqu'une décision d'interdiction d'entrée est prononcée à l'endroit d'une personne non-ressortissante d'un Etat partie aux Accords d'asso­ciation à Schen­gen (tel le recourant), l'ins­crip­tion aux fins de non-admission dans le Système d'informa­tion Schengen (SIS) - qui a pour conséquen­ce que la person­ne concernée se verra refuser l'entrée dans l'Espace Schengen - constitue en princi­pe un auto­matisme, en particulier si cette personne a été con­dam­née pour une infraction passible d'une peine privative de liberté d'au moins un an, ce qui est précisé­ment le cas en l'espèce (cf. art. 96 par. 2 let. a et par. 3 de la Con­ven­tion d'application du 19 juin 1990 de l'Accord de Schengen du 14 juin 1985 relatif à la suppression graduelle des con­trô­les aux fron­tières communes [Convention d'application de l'accord de Schengen, CAAS, JO L 239 du 22 septembre 2000], en relation avec l'art. 16 de la loi fédérale du 13 juin 2008 sur les systèmes d'infor­mation de police de la Confédération [LSIP, RS 361]). Aussi, dans la mesure où le recourant n'a pas fait valoir que l'un des Etats de l'Espace Schengen s'était déclaré disposé, dans l'intervalle, à lui délivrer un titre de séjour pour des motifs sérieux, d'ordre humanitaire ou d'intérêt national ou en raison d'obligations internationa­les, le retrait du signale­ment dans le SIS ne se justifie pas (cf. art. 25 par. 1 CAAS; cf. éga­lement l'art. 13 par. 1, en relation avec l'art. 5 par. 4 let. c du Règlement [CE] n° 562/2006 du Parlement européen et du Conseil du 15 mars 2006 établissant un code communautaire relatif au régime de franchisse­ment des fron­tières par les personnes [code frontière Schengen, JO L 105 du 13 avril 2006] ; sur ces questions, cf. notamment l'arrêt du TAF C 3419/2010 du 23 mai 2011 consid. 4.2 et 7.4 in fine, et la jurisprudence citée).</w:t>
      </w:r>
    </w:p>
    <w:p>
      <w:r>
        <w:rPr>
          <w:b/>
        </w:rPr>
        <w:t>E. 5.2</w:t>
      </w:r>
    </w:p>
    <w:p>
      <w:r>
        <w:t>A._______ se prévaut également, à titre de changement de circonstances, des quelques deux années qui se sont écoulées depuis le prononcé de la décision d'interdiction d'entrée du 9 mars 2009.</w:t>
      </w:r>
    </w:p>
    <w:p>
      <w:r>
        <w:rPr>
          <w:b/>
        </w:rPr>
        <w:t>E. 5.2.1</w:t>
      </w:r>
    </w:p>
    <w:p>
      <w:r>
        <w:t>A ce propos, il convient de relever qu'en vertu du principe de la séparation des pouvoirs, l'autorité administrative apprécie librement, en marge du pouvoir judiciaire et indépendamment des dispositions pénales (telles celles sur la libération conditionnelle au sens de l'art. 86 CP), qui elle entend accueillir sur son territoire et de qui elle souhaite se protéger. L'apprécia­tion émise par l'autorité de police des étrangers, pour laquelle la préoccupation de l'ordre et de la sécurité publics est prépondérante, peut donc s'avérer plus rigoureuse que celle de l'autorité pénale ou d'exé­cution des peines, dont le pronon­cé est dicté, au premier chef, par des con­­­si­­déra­tions tirées des perspectives de réinsertion sociale du condamné (cf. ATF 130 II 493 consid. 4.2 p. 500s., et la jurispru­dence citée; arrêt du TAF C-3419/2010 pré­ci­té consid. 7.3, et la jurisprudence citée). Certes, l'expulsion pénale, en tant que peine accessoire au sens de l'ancien art. 55 CP, a été abrogée par l'entrée en vigueur, le 1er janvier 2007, de la modification du 13 décembre 2002 de la partie générale du code pénal suisse (RO 2006 3459), de sorte que l'expulsion judiciaire ferme qui avait été prononcée le 7 dé­cem­bre 2006 à l'endroit du recourant pour une durée de 7 ans n'est plus applicable actuellement. Il est toutefois à noter que la suppression de l'expulsion judiciaire était précisément motivée par le fait que cette sanction pénale entrait en concours avec l'expulsion administrative prononcée par les autorités de police des étrangers, dont les effets étaient généralement plus sévères (cf. Message concernant la modification du code pénal suisse et du code pénal militaire du 21 sep­tem­bre 1998, Feuille fédérale [FF] 1999 1787, spéc. p. 1908). Le TF avait d'ailleurs retenu, sous l'angle de l'ancien droit, que lorsqu'une expulsion ferme était ordonnée par le juge pénal à l'encontre d'un condamné étranger, les autorités de police des étran­gers, si elles ne pouvaient certes autoriser l'étranger en question à séjourner en Suisse pendant la durée de cette mesure pénale, n'étaient pas liées à cette mesure en ce sens qu'elles con­­­ser­vaient le droit de prononcer une mesure d'éloignement admi­nistra­tive plus sévère (cf. ATF 125 II 105 consid. 2b p. 107s., ATF 124 II 289 con­sid. 3a p. 291s., juris­prudence confirmée notamment par l'arrêt du TF 2C_328/2007 du 25 septembre 2007 consid. 3). Aussi, même si l'expulsion judiciaire ferme prononcée à l'encontre du recourant pour une durée de 7 ans avait encore été applicable au moment de sa libération conditionnelle et de son refoulement au mois de mars 2009, ceci n'aurait nullement empêché l'ODM de prendre à son endroit une interdiction d'entrée d'une durée plus longue. Cela étant, le TAF a défini les conditions auxquelles une décision d'interdiction d'entrée pro­­non­cée pour une durée indéterminée devait, à la demande du condamné étranger, pouvoir faire l'objet d'un réexamen approfondi en raison de l'écoulement du temps: tel est le cas lorsque l'intéressé n'a pas fait l'objet de plaintes pendant long­temps, à savoir généralement environ dix ans après avoir fini de purger sa dernière peine privative de liberté (cf. ATAF 2008/24 consid. 6.2 à 6.4 p. 354ss, où le TAF avait retenu que le recourant pouvait se prévaloir d'un droit à un réexamen approfondi du fait que presque dix ans s'étaient écoulés depuis la fin de l'exécution de la peine et que les infractions commises remontaient à 18 ans et plus). On rappellera, à cet égard, que lorsqu'une décision d'interdic­tion d'entrée est prononcée pour une durée indéterminée, ceci ne signifie pas que cette mesure d'éloignement est valable à vie, mais sim­ple­ment qu'il n'est pas possible d'émettre un pronostic suffisam­ment fiable quant au laps de temps durant lequel la personne concer­née représentera encore une menace pour la sécurité et l'ordre publics (cf. ATAF 2008/24 précité consid. 4.3 p. 352s., et la jurisprudence citée).</w:t>
      </w:r>
    </w:p>
    <w:p>
      <w:r>
        <w:rPr>
          <w:b/>
        </w:rPr>
        <w:t>E. 5.2.2</w:t>
      </w:r>
    </w:p>
    <w:p>
      <w:r>
        <w:t>Selon la jurisprudence, l'ODM ne saurait donc entrer en matière sur une demande tendant à la reconsidération d'une mesure d'é­loi­gne­ment prononcée sans limitation temporelle qu'une fois que l'étranger concerné aura apporté la preuve, après un laps de temps significatif, qu'il s'est définitivement amendé et qu'il ne représente plus une menace pour la sécurité et l'ordre publics. Or, en l'espèce, il ressort des pièces du dossier que A._______ a commis de multiples délits depuis son arrivée en Suisse, pour lesquels il a été condamné à plusieurs reprises par la justice pénale helvétique: le 29 décembre 1992, à 28 jours d'emprisonnement, les 17 sep­tembre 1998 et 15 mai 2002, par deux fois à 15 mois d'emprisonnement, le 20 septem­bre 2003, à 14 jours d'emprison­nement et, enfin, le 7 décembre 2006, à 24 mois de réclusion. Ayant commencé à purger sa dernière peine privative de liberté à la fin de l'année 2007, il a été libéré condi­tionnelle­ment (après avoir subi les deux tiers de sa peine) et refoulé à destination de son pays d'origi­ne au mois de mars 2009.</w:t>
      </w:r>
    </w:p>
    <w:p>
      <w:r>
        <w:rPr>
          <w:b/>
        </w:rPr>
        <w:t>E. 5.2.3</w:t>
      </w:r>
    </w:p>
    <w:p>
      <w:r>
        <w:t>Force est dès lors de constater que les conditions requises par la jurisprudence pour obliger l'autorité inférieure à procéder au réexamen de l'interdiction d'entrée de durée indéterminée qu'elle avait prononcée le 9 mars 2009 en raison de l'écoulement du temps ne sont manifestement pas réalisées, la libération conditionnelle du recourant (sur­venue après de nombreux mois de détention) remontant à un peu plus de deux ans seulement. On ne saurait en effet considérer, dans ces conditions, que l'intéressé, au regard de la forte propension à la délinquance qu'il a présentée tout au long de son séjour en Suisse, ait fait ses preuves - en dehors du milieu carcéral - pendant un laps de temps suffisant.</w:t>
      </w:r>
    </w:p>
    <w:p>
      <w:r>
        <w:rPr>
          <w:b/>
        </w:rPr>
        <w:t>E. 5.3</w:t>
      </w:r>
    </w:p>
    <w:p>
      <w:r>
        <w:t>Aussi, le Tribunal considère que c'est à juste titre que l'autorité inférieure n'est pas entrée en matière sur la requête du 19 janvier 2011. 6.1. En conséquence, le Tribunal est amené à conclure que la décision querellée est conforme au droit (cf. art. 49 PA). 6.2. Partant, le recours doit être rejeté, dans la mesure où il est receva­ble. 6.3. Vu l'issue de la cause, les frais de procédure doivent être mis à la charge du recourant (cf. art. 63 al. 1 PA et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