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C-1882/2010 vom 22. März 2011</w:t>
      </w:r>
    </w:p>
    <w:p>
      <w:r>
        <w:t>Bundesverwaltungsgericht, 2011-03-22, IT</w:t>
      </w:r>
    </w:p>
    <w:p>
      <w:r>
        <w:rPr>
          <w:b/>
        </w:rPr>
        <w:t xml:space="preserve">Quelle: </w:t>
      </w:r>
      <w:r>
        <w:t>https://mcp.opencaselaw.ch/entscheid/bvger_C-1882_2010</w:t>
      </w:r>
    </w:p>
    <w:p>
      <w:r>
        <w:t>FR: TAF C-1882/2010 du 22 mars 2011</w:t>
      </w:r>
    </w:p>
    <w:p>
      <w:r>
        <w:t>IT: TAF C-1882/2010 del 22 marzo 2011</w:t>
      </w:r>
    </w:p>
    <w:p>
      <w:pPr>
        <w:pStyle w:val="Heading2"/>
      </w:pPr>
      <w:r>
        <w:t>Regeste</w:t>
      </w:r>
    </w:p>
    <w:p>
      <w:r>
        <w:t>Diritto alla rendita</w:t>
      </w:r>
    </w:p>
    <w:p>
      <w:pPr>
        <w:pStyle w:val="Heading2"/>
      </w:pPr>
      <w:r>
        <w:t>Erwägungen</w:t>
      </w:r>
    </w:p>
    <w:p>
      <w:r>
        <w:rPr>
          <w:b/>
        </w:rPr>
        <w:t>E. 1</w:t>
      </w:r>
    </w:p>
    <w:p>
      <w:r>
        <w:t>Riservate le eccezioni di cui all'art. 32 della legge sul Tribunale amministrativo federale del 17 giugno 2005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corrispondente alle spese processuali di Fr. 300.-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130 V 445 consid. 1.2).</w:t>
      </w:r>
    </w:p>
    <w:p>
      <w:r>
        <w:rPr>
          <w:b/>
        </w:rPr>
        <w:t>E. 5</w:t>
      </w:r>
    </w:p>
    <w:p>
      <w:r>
        <w:t>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sull'assicurazione per l'invalidità del 17 gennaio 1961, OAI, RS 831.201). Se non è il caso, l'amministrazione non entra nel merito della richiesta. Se l'amministrazione entra nel merito della nuova domanda deve esaminare la fattispecie da un punto di vista materiale e, in particolare, verificare se la modifica del grado d'invalidità reso verosimile dall'assicurato si è effettivamente realizzata. In tal caso applicherà, per analogia, le disposizioni sulla revisione di rendite in corso (art. 17 LPGA, art. 87 segg. OAI, cfr. DTF 109 V 108 e 130 V 64 e 71). In concreto, l'UAIE ha emanato una prima decisione negativa il 17 marzo 2008. In data 6 maggio 2009, l'amministrazione ha dichiarato di non esaminare una seconda domanda di rendita presentata dall'interessata il 5 agosto 2008, in quanto la stessa non aveva reso plausibile che il grado d'invalidità, rispetto alla prima domanda di rendita, si fosse modificato in misura rilevante per il diritto a prestazioni. Questa decisione non ha quindi esaminato sul merito il diritto a prestazioni. Ne consegue che il periodo di riferimento per giudicare se è intervenuta una modifica rilevante del grado d'invalidità può essere limitato dal 17 marzo 2008, all'11 febbraio 2010, data dell'impugnata decisione.</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tre anni. Pertanto, l'interessata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7.5</w:t>
      </w:r>
    </w:p>
    <w:p>
      <w:r>
        <w:t>Per l'art. 5 LAI ed 8 cpv. 3 LPGA, gli assicurati maggiorenni che prima di subire il danno alla salute fisica mentale o psichica non esercitavano un'attività lucrativa e dai quali non si può esigere che l'esercitino sono considerati invalidi se tale danno impedisce loro di svolgere le proprie mansioni consuete.</w:t>
      </w:r>
    </w:p>
    <w:p>
      <w:r>
        <w:rPr>
          <w:b/>
        </w:rPr>
        <w:t>E. 8.1</w:t>
      </w:r>
    </w:p>
    <w:p>
      <w:r>
        <w:t>L'interessata non ha più lavorato dopo il rimpatrio e si è dedicata ai lavori della propria economia domestica e all'educazione dei figli (doc. 11 cifra 7, doc. 79 cifra 7b, doc. 137).</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cpv. 2 LAI). L'art. 27 OAI precisa che per mansioni consuete di una persona senza attività lucrativa occupata nell'economia domestica s'intendono gli usuali lavori domestici, l'educazione dei figli nonché le attività artistiche e di pubblica utilità.</w:t>
      </w:r>
    </w:p>
    <w:p>
      <w:r>
        <w:rPr>
          <w:b/>
        </w:rPr>
        <w:t>E. 8.4</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w:t>
      </w:r>
    </w:p>
    <w:p>
      <w:r>
        <w:t>Nel caso in esame è stata evidenziata la diagnosi di esiti di isteroannessiectomia totale in età fertile (1998), sindrome depressiva a discreta incidenza funzionale, esiti di frattura della mandibola (1991) trattata chirurgicamente, cervico-lombo-disco-artrosi, gonartrosi, ipertensione arteriosa, diabete mellito tipo II con segni di neuropatia, emicrania, sindrome vertiginosa (doc. 167, perizia medica particolareggiata, E 213 del 22 giugno 2009). La documentazione medica oggettiva fa stato anche di problemi gastrici recenti sottoforma di gastrite erosiva (cfr. documentazione esibita in sede di audizione e di ricorso).</w:t>
      </w:r>
    </w:p>
    <w:p>
      <w:r>
        <w:rPr>
          <w:b/>
        </w:rPr>
        <w:t>E. 10.1</w:t>
      </w:r>
    </w:p>
    <w:p>
      <w:r>
        <w:t>Per quanto riguarda le conseguenze invalidanti delle menzionate affezioni il medico dell'INPS (doc. 167) pone un tasso d'invalidità del 70%. Dal canto loro, i sanitari dell'UAIE, Dott.ri Croisier (SMR, doc. 169, 175) e Lehmann (doc. 180), affermano che l'assicurata è del tutto in grado di adempiere alle sue incombenze domestiche.</w:t>
      </w:r>
    </w:p>
    <w:p>
      <w:r>
        <w:rPr>
          <w:b/>
        </w:rPr>
        <w:t>E. 10.2</w:t>
      </w:r>
    </w:p>
    <w:p>
      <w:r>
        <w:t>Ora, deve essere rilevato che il parere dei medici dell'UAIE non si basa su una documentazione oggettiva, in particolare per quanto riguarda la patologia psichiatrica. In merito all'attuale domanda di rendita (la terza), il medico dell'INPS, nella sua perizia del 22 giugno 2009, stima che le condizioni di salute dell'assicurata, rispetto alla precedente visita, sono peggiorate e che la stessa non sarebbe in grado di svolgere nessun lavoro (doc. 167 cifre 8 e 9). Inoltre, egli annota che la paziente è portatrice di una sindrome ansiosa con notevole depressione del tono dell'umore. Alla luce di quanto riferito, è evidente che il laconico certificato d'esame psichiatrico, del 23 maggio 2009 (doc. 164), che pur attesta una grave depressione cronica di natura endo-reattiva con spunti fobici, non permette un esame completo ed attendibile. Queste certificazioni, anche se sommarie, stanno a dimostrare che non può essere escluso a priori che la patologia psichiatrica rivesta una forma morbosa di particolare importanza. Di principio, quando una patologia di questa natura costituisce, con tutta probabilità, quella più debilitante, l'esame specialistico deve contenere un'anamnesi dettagliata, un rapporto oggettivo che riferisca sull'orientamento spazio-temporale della paziente, sull'umore, sulle idee presenti e fobie (come è il caso nella specie), sulla frequenza degli stati morbosi acuti, sull'organizzazione mentale, sull'intuizione, ecc. L'indagine specialistica deve poi porre una diagnosi ed una prognosi precise, indicare quale è la terapia seguita e gli esiti (risultati) di questa e deve pronunciarsi sulla capacità di lavoro residua.</w:t>
      </w:r>
    </w:p>
    <w:p>
      <w:r>
        <w:rPr>
          <w:b/>
        </w:rPr>
        <w:t>E. 10.3</w:t>
      </w:r>
    </w:p>
    <w:p>
      <w:r>
        <w:t>Trattandosi poi di una casalinga, si può annotare che la valutazione del lavoro domestico si basa su indicazioni della richiedente stessa, le quali sono controllate in una certa misura dall'amministrazione. Il risultato è necessariamente una valutazione esaminata dall'UAIE (o dal giudice in caso di ricorso) alla luce delle perizie mediche ad atti. Di principio, il controllo giudiziario richiede che ogni punto della valutazione sia stato determinato con cura e precisione. Il risultato in percentuale che si ottiene non può essere arrotondato (DTF 127 V 129 consid. 5; VSI 2001 p. 265). Tuttavia, secondo il Tribunale federale (sentenza I 407/03 del 15 settembre 2003 consid. 4.3), qualora l'invalidità sia riconducibile a disturbi di ordine psichico, l'indagine economica prevista per le casalinghe non rappresenta un mezzo di prova adeguato. In tali casi ci si deve fondare sulle constatazioni medico-teoriche, che appunto nella fattispecie fanno difetto, per valutare in quale misura la persona assicurata è impedita nel compimento dei lavori domestici.</w:t>
      </w:r>
    </w:p>
    <w:p>
      <w:r>
        <w:rPr>
          <w:b/>
        </w:rPr>
        <w:t>E. 11.1</w:t>
      </w:r>
    </w:p>
    <w:p>
      <w:r>
        <w:t>Ora, fatte queste considerazioni, il collegio giudicante si trova nell'impossibilità di determinare l'eventuale incapacità di lavoro subita dall'interessata e da quando questa invalidità esisterebbe. 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11.2</w:t>
      </w:r>
    </w:p>
    <w:p>
      <w:r>
        <w:t>L'UAIE dovrà quindi completare l'istruttoria delucidando la situazione medica per il periodo dal 17 marzo 2008 (data della precedente decisione sul merito) fino alla data dell'impugnata decisione (11 febbraio 2010). L'UAIE emanerà poi un nuovo provvedimento impugnabile. A tale fine la ricorrente dovrà essere sottoposta ad una perizia approfondita in psichiatria e ad una perizia medica particolareggiata aggiornata (E 213), accompagnata dagli esami essenziali a seconda delle patologie riscontrate. L'incarto sarà poi inviato in esame al servizio medico dell'UAIE il quale si pronuncerà in merito all'evoluzione dell'incapacità al lavoro fra il marzo 2008 e l'11 febbraio 2010, data della decisione impugnata, nonché in merito all'esigibilità dell'attività di casalinga nel periodo suddetto.</w:t>
      </w:r>
    </w:p>
    <w:p>
      <w:r>
        <w:rPr>
          <w:b/>
        </w:rPr>
        <w:t>E. 12.1</w:t>
      </w:r>
    </w:p>
    <w:p>
      <w:r>
        <w:t>Visto l'esito del ricorso, non sono prelevate spese processuali e l'anticipo di Fr. 300.-, versato dalla ricorrente il 15 settembre 2010, le viene restituito.</w:t>
      </w:r>
    </w:p>
    <w:p>
      <w:r>
        <w:rPr>
          <w:b/>
        </w:rPr>
        <w:t>E. 12.2</w:t>
      </w:r>
    </w:p>
    <w:p>
      <w:r>
        <w:t>In base all'art. 64 PA, l'autorità di ricorso, se ammette il ricorso in tutto o in parte, può assegnare al ricorrente un'indennità per le spese indispensabili e relativamente elevate che ha sopportato. Nel caso in esame, si giustifica riconoscere alla parte ricorrente un'indennità per spese ripetibili di Fr. 1'000.-,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