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C-1880/2012 vom 6. Juni 2012</w:t>
      </w:r>
    </w:p>
    <w:p>
      <w:r>
        <w:t>Bundesverwaltungsgericht, 2012-06-06, DE</w:t>
      </w:r>
    </w:p>
    <w:p>
      <w:r>
        <w:rPr>
          <w:b/>
        </w:rPr>
        <w:t xml:space="preserve">Quelle: </w:t>
      </w:r>
      <w:r>
        <w:t>https://mcp.opencaselaw.ch/entscheid/bvger_C-1880_2012</w:t>
      </w:r>
    </w:p>
    <w:p>
      <w:r>
        <w:t>FR: TAF C-1880/2012 du 6 juin 2012</w:t>
      </w:r>
    </w:p>
    <w:p>
      <w:r>
        <w:t>IT: TAF C-1880/2012 del 6 giugno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Der angefochtenen Verfügung liegt das Gesuch eines kosovarischen Staatsangehörigen um Erteilung eines Visums für einen einmonatigen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der Kosovo zu diesen Staaten zählt, unterliegt der Gesuchsteller der Visumspflicht.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Am 17. Februar 2008 erklärte das kosovarische Parlament die Unabhängigkeit des Landes, die am 26. Februar 2008 von der Schweiz und mittlerweile von 90 Staaten völkerrechtlich anerkannt wurden (vgl. dazu www.mfa-ks.net/?page=2,33). Die Sicherheitslage im Kosovo konnte zwar im Verlaufe der letzten Jahre weitgehend stabilisiert werden auch ist der Wiederaufbau von Administration und Infrastruktur unter Beteiligung internationaler Organisationen und Staatengemeinschaften in Gang gekommen. Aus wirtschaftlicher Sicht ist es aber trotz grosser internationaler Unterstützung bisher nicht gelungen, im Kosovo eine Wachstumsdynamik einzuleiten es herrscht wirtschaftliche Stagnation und die Arbeitslosigkeit bleibt gemäss den letzten offiziellen Zahlen im Jahr 2007 mit 43,6% hartnäckig hoch. So sind mehr als die Hälfte der Erwerbsfähigen ohne oder zumindest ohne regelmässiges Einkommen. Der Armutsanteil der Bevölkerung im Kosovo liegt bei 45% 15% der Staatsbürger leben sogar in extremer Armut (vgl. www.worldbank.org Countries&gt;Kosovo&gt;Overview&gt;Country Brief, Oktober 2010, besucht im Mai 2012).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des Gesuchstellers, was sich auch in der schweizerischen Asylstatistik widerspiegelt. So stammten im Jahr 2011 2,8 % der Asylsuchenden aus dem Kosovo, der damit in der Statistik der Asylgesuche nach Nationen mit insgesamt 634 Gesuchen (32 Gesuche mehr als im Jahr 2010) an zehnter Stelle stand (Quelle: Bundesamt für Migration, www.bfm.admin.ch&gt; Themen&gt; Statistiken&gt; Asylstatistik&gt;Jahresstatistiken&gt;kommentierte Asylstatistik 2011, S. 3). Seit dem 1. April 2009 gilt der Kosovo zwar als verfolgungssicherer Staat (Safe Country), dies gemäss Beschluss des Bundesrates vom 6. März 2009. Es wird sich aber zeigen müssen, ob und falls ja, welchen Einfluss dies auf künftige Asylbewerberzahlen haben wird.</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unverheirateten und kinderlosen 22-jährigen Mann, der bei seiner Mutter lebt. Mit Schreiben vom 8. Februar 2012 an das Migrationsamt des Kantons Zürich führte der Gastgeber aus, der Gesuchsteller sei Student. Dieser wolle ihn während den Semesterferien besuchen und anschliessend weiter studieren. Einen Monat später wird auf Beschwerdeebene bereits vorgebracht, der Gesuchsteller arbeite zu 100 %. Belege, die zu seiner aktuellen beruflichen und wirtschaftlichen Situation Aufschluss geben könnten, wurden keine eingereicht. Demzufolge kann nicht darauf geschlossen werden, der Gesuchsteller befinde sich finanziell in vergleichsweise vorteilhaften Verhältnissen. Hinzu kommt, dass sich nicht nur ein Onkel des Beschwerdeführers mit seiner Familie in der Schweiz aufhält, sondern auch sein Vater. Schliesslich enthalten die vorinstanzlichen Akten ein Einreisegesuch von B._______ aus dem Sommer 2006 zwecks Zuzugs zu seinem Vater. Über den diesbezüglichen Verfahrensausgang ist den Akten hingegen nichts zu entnehmen.</w:t>
      </w:r>
    </w:p>
    <w:p>
      <w:r>
        <w:rPr>
          <w:b/>
        </w:rPr>
        <w:t>E. 6.2</w:t>
      </w:r>
    </w:p>
    <w:p>
      <w:r>
        <w:t>Gesamthaft betrachtet sind beim Gesuchsteller keine eigentlichen Verpflichtungen oder Bindungen erkennbar, welche ihn verlässlich von einer Emigration abzuhalten vermöchten.</w:t>
      </w:r>
    </w:p>
    <w:p>
      <w:r>
        <w:rPr>
          <w:b/>
        </w:rPr>
        <w:t>E. 6.3</w:t>
      </w:r>
    </w:p>
    <w:p>
      <w:r>
        <w:t>Vor dem allgemeinen und persönlichen Hintergrund durfte die Vorinstanz demnach davon ausgehen, dass keine hinreichende Gewähr für eine fristgerechte und anstandslose Wiederausreise des Gesuchstellers nach einem Besuchsaufenthalt besteht. Zwar lässt sich diese Prognose nicht zu einer gesicherten Feststellung verdichten; sie genügt jedoch, um die Erteilung einer Einreisebewilligung, auf welche ohnehin kein Rechtsanspruch besteht, abzulehnen.</w:t>
      </w:r>
    </w:p>
    <w:p>
      <w:r>
        <w:rPr>
          <w:b/>
        </w:rPr>
        <w:t>E. 6.4</w:t>
      </w:r>
    </w:p>
    <w:p>
      <w:r>
        <w:t>An der Richtigkeit dieser Einschätzung ändert auch die Tatsache nichts, dass der Beschwerdeführer die rechtzeitige Rückkehr des Gesuchstellers mehrmals zugesichert hat. Die Integrität des Beschwerdeführers in seiner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7. Februar 2012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7</w:t>
      </w:r>
    </w:p>
    <w:p>
      <w:r>
        <w:t>Aus vorstehenden Erwägungen folgt, dass die angefochtene Verfügung im Lichte von Art. 49 VwVG nicht zu beanstanden ist. Die Beschwerde ist daher abzuweisen. 8.Entsprechend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