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C-1880/2011 vom 18. Juli 2012</w:t>
      </w:r>
    </w:p>
    <w:p>
      <w:r>
        <w:t>Bundesverwaltungsgericht, 2012-07-18, FR</w:t>
      </w:r>
    </w:p>
    <w:p>
      <w:r>
        <w:rPr>
          <w:b/>
        </w:rPr>
        <w:t xml:space="preserve">Quelle: </w:t>
      </w:r>
      <w:r>
        <w:t>https://mcp.opencaselaw.ch/entscheid/bvger_C-1880_2011</w:t>
      </w:r>
    </w:p>
    <w:p>
      <w:r>
        <w:t>FR: TAF C-1880/2011 du 18 juillet 2012</w:t>
      </w:r>
    </w:p>
    <w:p>
      <w:r>
        <w:t>IT: TAF C-1880/2011 del 18 luglio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rendues par l'ODM - lequel constitue une unité de l'administration fédérale au sens de l'art. 33 let. d LTAF - sont susceptibles de recours au TAF (cf. art. 1 al. 2 LTAF).</w:t>
      </w:r>
    </w:p>
    <w:p>
      <w:r>
        <w:rPr>
          <w:b/>
        </w:rPr>
        <w:t>E. 1.2</w:t>
      </w:r>
    </w:p>
    <w:p>
      <w:r>
        <w:t>La procédure devant le TAF est régie par la PA, à moins que la LTAF n'en dispose autrement (cf. art. 37 LTAF, en relation avec l'art. 112 al. 1 LEtr).</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2011/1 consid. 2 p. 4 et jurisprudence citée).</w:t>
      </w:r>
    </w:p>
    <w:p>
      <w:r>
        <w:rPr>
          <w:b/>
        </w:rPr>
        <w:t>E. 3.1</w:t>
      </w:r>
    </w:p>
    <w:p>
      <w:r>
        <w:t>Depuis le 1er janvier 2008, le statut juridique des étrangers en Suisse est régi par la loi fédérale du 16 décembre 2005 sur les étrangers (LEtr, RS 142.20)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Peter Uebersax/Beat Rudin/Thomas Hugi Yar/Thomas Geiser [éd.], Ausländerrecht, Bâle 2009, p. 247 ch. 7.84). Cette règle ne souffre toutefois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circulaires de l'ODM, en ligne sur son site &gt; Documentation &gt; Bases légales &gt; Directives et circulaires &gt; Domaine des étrangers &gt; Procédure et compétences, version du 30 septembre 2011, visité en juin 2012). Il s'ensuit que l'ODM et, a fortiori, le Tribunal ne sont pas liés par la décision des autorités vaudoises de police des étrangers de délivrer au recourant une autorisation de séjour fondée sur l'art. 30 al. 1 let. b LEtr et peuvent donc parfaitement s'écarter de l'appréciation émise par ces autorités. A ce sujet, il convient également de relever que, contrairement aux allégations du recourant, le Tribunal cantonal n'a pas considéré qu'il s'agissait manifestement d'un cas de rigueur. Certes, dans son arrêt du 29 décembre 2010, la Cour de droit administratif et public du Tribunal cantonal a annulé la décision du SPOP du 10 décembre 2009 et lui a renvoyé le dossier pour qu'il statue à nouveau dans le sens des considérants. Cela étant, il ressort desdits considérants que la Cour a uniquement estimé que plusieurs critères plaidaient en faveur de la reconnaissance d'un cas de rigueur (cf. consid. 1c) et qu'en conséquence, il se justifiait de soumettre le cas qui est objet de la présente cause à l'ODM en vue d'un examen approfondi du dossier (cf. consid. 1d in fine). Ceci relativise quelque peu les affirmations du recourant qui, quoiqu'il en soit, n'enlèvent rien au pouvoir d'appréciation du Tribunal de céans, lequel demeure entier quelles que soient les conclusions auxquelles est parvenue la Cour cantonale.</w:t>
      </w:r>
    </w:p>
    <w:p>
      <w:r>
        <w:rPr>
          <w:b/>
        </w:rPr>
        <w:t>E. 5.1</w:t>
      </w:r>
    </w:p>
    <w:p>
      <w:r>
        <w:t>A teneur de l'art. 30 al. 1 let. b LEtr, il est possible de déroger aux conditions d'admission (art. 18 à 29)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 Martina Caroni/ Thomas Gächter/ Daniela Turnherr [éd.], Bundesgesetz über die Ausländerinnen und Ausländer [AuG], Berne 2010,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arrêt du Tribunal fédéral 8C_724/2009 du 11 juin 2010 consid. 5.3.1; ATAF 2009/40 consid. 5 p. 567ss [sur la portée de l'art. 14 al. 2 let. c LAsi], spéc. consid. 5.2.2 p. 569s.;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ATAF 2007/44 consid. 4.1 et 4.2, ATAF 2007/16 précité consid. 5.1 et 5.2, et la jurisprudence et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6.1</w:t>
      </w:r>
    </w:p>
    <w:p>
      <w:r>
        <w:t>En l'espèce, A._______ est arrivé en Suisse le 1er mai 2009 sans être au bénéfice d'un visa. Le prénommé n'a donc séjourné sur le territoire helvétique que pendant un peu plus de 3 ans. En conséquence, le recourant ne saurait tirer parti de la durée de son séjour en Suisse pour bénéficier d'une dérogation aux conditions d'admission, d'autant plus si l'on tient compte de l'illégalité de son entrée dans ce pays, où il ne demeure qu'en vertu d'une simple tolérance cantonale, laquelle consiste en un statut à caractère provisoire et aléatoire (cf. ATAF 2007/16 consid. 7). En outre, aucun indice au dossier ne permet de considérer que l'intégration socio-professionnelle du prénommé serait particulièrement réussie ou qu'il se serait créé en Suisse des attaches à ce point profondes et durables qu'il ne puisse plus raisonnablement envisager un retour dans son pays d'origine. A cet sujet, il convient également de rappeler que le respect de l'ordre juridique suisse constitue un élément à prendre en considération lors de l'appréciation d'un cas de rigueur. Cela étant, en entrant en Suisse sans être au bénéfice d'un visa et en travaillant illégalement sur un chantier de son père, le recourant a délibérément enfreint les prescriptions en matière de police des étrangers.</w:t>
      </w:r>
    </w:p>
    <w:p>
      <w:r>
        <w:rPr>
          <w:b/>
        </w:rPr>
        <w:t>E. 6.2</w:t>
      </w:r>
    </w:p>
    <w:p>
      <w:r>
        <w:t>S'agissant de la situation familiale de l'intéressé, il apparaît en effet que depuis le décès de sa grand-mère et le départ en direction de la Suisse de la famille de l'un de ses deux oncles paternels, le recourant ne dispose plus d'une véritable cellule familiale dans sa région de provenance, alors qu'en Suisse, il semble bien intégré au sein de la famille de son père qui a deux autres enfants nés respectivement le 15 août 1997 et le 29 octobre 2002, issus de son mariage avec son épouse actuelle. Cependant, cette situation ne se distingue pas de celle de nombreux compatriotes qui ont vu partir une partie de leur famille à l'étranger et qui n'ont pas pu les accompagner. Par ailleurs, le second oncle paternel du recourant vit au Kosovo, près de la région d'origine du prénommé - à savoir la commune de Presevo qui est située au sud de la Serbie, à proximité de la frontière avec le Kosovo et la Macédoine. Certes, selon les déclarations constantes du recourant et de son père, l'oncle resté au pays qui est lui-même père de six enfants n'est pas disposé à accueillir le recourant. Cependant, la présence de cette famille dans la région d'origine du prénommé constitue un élément susceptible de faciliter sa réintégration dans son pays de provenance qu'il n'a - à vrai dire - quitté que depuis 3 ans.</w:t>
      </w:r>
    </w:p>
    <w:p>
      <w:r>
        <w:rPr>
          <w:b/>
        </w:rPr>
        <w:t>E. 6.3</w:t>
      </w:r>
    </w:p>
    <w:p>
      <w:r>
        <w:t>Quant aux possibilités de réintégration du recourant dans son pays d'origine au sens de l'art. 31 al. 1 let. g OASA, il ne faut pas perdre de vue que l'intéressé a passé la plus grande partie de son existence en Serbie, notamment toute sa jeunesse, soit une période qui est décisive pour la formation de la personnalité et, partant, pour l'intégration sociale et culturelle. C'est donc dans sa région d'origine que le prénommé a l'essentiel de ses racines. Certes, malgré le peu d'années passées en Suisse, il n'est pas totalement exclu qu'en cas de retour dans son pays de provenance, le recourant se heurte à des difficultés de réintégration. Cela étant, l'intéressé n'a pas établi que les difficultés qu'il pourrait ainsi rencontrer seraient plus graves pour lui que pour n'importe lequel de ses concitoyens qui se trouverait dans sa situation. En particulier, ni l'âge du recourant, ni la durée de son séjour en Suisse, ni les inconvénients d'ordre social ou professionnel qu'il pourrait rencontrer dans son pays d'origine ne constituent des circonstances si singulières que celui-ci serait placé dans un cas de détresse justifiant l'octroi d'une dérogation aux mesures de limitation au sens de l'art. 30 al. 1 let b LEtr.</w:t>
      </w:r>
    </w:p>
    <w:p>
      <w:r>
        <w:rPr>
          <w:b/>
        </w:rPr>
        <w:t>E. 7</w:t>
      </w:r>
    </w:p>
    <w:p>
      <w:r>
        <w:t>Le recourant se prévaut également du droit au respect de la vie familiale garanti par l'art. 8 CEDH.</w:t>
      </w:r>
    </w:p>
    <w:p>
      <w:r>
        <w:rPr>
          <w:b/>
        </w:rPr>
        <w:t>E. 7.1</w:t>
      </w:r>
    </w:p>
    <w:p>
      <w:r>
        <w:t>Selon la jurisprudence, un étranger peut, selon les circonstances, se prévaloir du droit au respect de sa vie privée et familiale au sens de l'art. 8 par. 1 CEDH pour s'opposer à une éventuelle séparation de sa famille. L'art. 8 CEDH peut conférer un droit à une autorisation de séjour en faveur des enfants mineurs de personnes bénéficiant d'un droit de présence assuré en Suisse (c'est-à-dire au moins un droit certain à une autorisation de séjour [ATF 130 II 281 consid. 3.1]) si les liens noués entre les intéressés sont étroits et si le regroupement familial vise à assurer une vie familiale commune effective (cf. ATF 129 II 193 consid. 5.3.1, 127 II 60 consid. 1d). Cependant, selon la jurisprudence (ATF 133 II 6 consid. 1.1.2), l'art. 8 CEDH ne peut être invoqué que si l'enfant concerné n'a pas encore atteint dix-huit ans au moment où l'autorité de recours statue.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115 Ib 1 consid. 2; Wurzburger, op. cit., p. 284; Luzius Wildhaber, Internationaler Kommentar zur Europäischen Menschenrechtskonvention, n. 353 et 354, ad art. 8, p. 129).</w:t>
      </w:r>
    </w:p>
    <w:p>
      <w:r>
        <w:rPr>
          <w:b/>
        </w:rPr>
        <w:t>E. 7.2</w:t>
      </w:r>
    </w:p>
    <w:p>
      <w:r>
        <w:t>Or, en l'espèce, A._______ est âgé de 20 ans et il n'a pas démontré qu'il se trouverait dans un état de dépendance particulier vis-à-vis de son père au sens de la jurisprudence précitée. Certes, le recourant a allégué qu'il était prostré, désoeuvré et nécessitait impérativement le soutien de son père. Cela étant, c'est ici le lieu de rappeler que des difficultés économiques ou d'autres problèmes d'organisation ne peuvent être assimilés à un handicap ou une maladie grave rendant indispensable l'assistance de proches parents. A défaut, l'art. 8 CEDH permettrait à tout étranger manquant de moyens financiers notamment et pouvant être assisté par de proches parents ayant le doit de résider en Suisse d'obtenir une autorisation de séjour (cf. les arrêts du Tribunal fédéral 2A.31/2004 du 26 janvier 2004 consid. 2.1.2, 2A.30/2004 du 23 janvier 2004 consid. 2.2, 2A.446/2002 du 17 avril 2003 consid. 1.3 et 1.4). A cela s'ajoute que le recourant pourra continuer à voir sa famille lors de séjours touristiques et que celle-ci pourra le soutenir moralement et financièrement dans son pays d'origine.</w:t>
      </w:r>
    </w:p>
    <w:p>
      <w:r>
        <w:rPr>
          <w:b/>
        </w:rPr>
        <w:t>E. 7.3</w:t>
      </w:r>
    </w:p>
    <w:p>
      <w:r>
        <w:t>Au vu de ce qui précède, après une appréciation de l'ensemble des circonstances propres au cas particulier, le Tribunal, à l'instar de l'autorité inférieure, arrive à la conclusion que la situation d'A._______ n'est pas constitutive d'une situation d'extrême gravité au sens de l'art. 30 al. 1 let. b LEtr, en considération de la législation et de la pratique restrictives en la matière et que la décision querellée ne viole pas l'art. 8 CEDH. C'est donc à juste titre que l'autorité inférieure a refusé de donner son aval à la délivrance, en faveur de l'intéressé, d'une autorisation de séjour.</w:t>
      </w:r>
    </w:p>
    <w:p>
      <w:r>
        <w:rPr>
          <w:b/>
        </w:rPr>
        <w:t>E. 8</w:t>
      </w:r>
    </w:p>
    <w:p>
      <w:r>
        <w:t>Dans la mesure où le recourant n'obtient aucun titre de séjour en Suisse, c'est à bon droit que l'ODM a prononcé le renvoi de Suisse de l'intéressé, conformément à l'art. 64 al. 1 LEtr. Il convient toutefois d'examiner encore si l'exécution de ce renvoi est possible, licite et raisonnablement exigible au sens de l'art. 83 al. 2 à 4 LEtr.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8.1</w:t>
      </w:r>
    </w:p>
    <w:p>
      <w:r>
        <w:t>In casu, le recourant, à supposer qu'il ne soit pas en possession de documents suffisants pour rentrer dans sa patrie,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8.2.1</w:t>
      </w:r>
    </w:p>
    <w:p>
      <w:r>
        <w:t>S'agissant de la licéité de l'exécution du renvoi, le recourant n'a pas démontré qu'elle serait contraire aux engagements de la Suisse relevant du droit international. Il n'est en effet nullement établi que l'intéressé pourrait subir dans son pays d'origine une persécution de la part des autorités et qu'il risquerait d'être personnellement et concrètement victime de tortures ou de traitements inhumains ou dégradants en violation de l'art. 3 CEDH. Certes, le recourant a invoqué qu'il avait fait l'objet de menaces d'enlèvement contre rançon dans son pays d'origine. Toutefois, cette allégation n'est guère étayée par des faits précis et aucun élément concret ne permet de se convaincre de la réalité de cette affirmation. Il est en outre pour le moins étonnant que le recourant ait évoqué ces prétendues menaces uniquement lors de son audition par le Tribunal cantonal et qu'il ne les ait jamais mentionnées auparavant, en particulier ni dans la demande d'autorisation de séjour initiale, ni dans le mémoire de recours adressé au Tribunal cantonal.</w:t>
      </w:r>
    </w:p>
    <w:p>
      <w:r>
        <w:rPr>
          <w:b/>
        </w:rPr>
        <w:t>E. 8.2.2</w:t>
      </w:r>
    </w:p>
    <w:p>
      <w:r>
        <w:t>A supposer que le risque d'enlèvement évoqué par l'intéressé soit réel, thèse que le Tribunal de céans a écartée faute d'éléments probants (cf. consid. 8.2.1), pareil élément n'aurait quoiqu'il en soit pas une portée déterminante au regard de l'art. 83 al. 3 LEtr. La Cour européenne des droits de l'homme n'a certes pas exclu que l'art. 3 CEDH puisse aussi s'appliquer lorsque le danger émane de personnes ou de groupes qui ne relèvent pas de la fonction publique. Elle a toutefois souligné la nécessité de démontrer à la fois que le risque existe réellement et que les autorités de destination ne sont pas en mesure d'y obvier par une protection appropriée (voir les arrêts de la Cour européenne des droits de l'homme en l'affaire Hirsi Jamaa et autres c. Italie du 23 février 2012, requête n° 27765/09, et en l'affaire H.L.R c. France du 29 avril 1997, requête n° 11/1996/630/813). Dans le cas présent, les éléments figurant au dossier ne sont cependant pas suffisants pour convaincre le TAF que les craintes manifestées par le recourant d'être l'objet de traitements contraires à l'art. 3 CEDH de la part d'un particulier sont fondées. Cela étant, il faut préciser qu'une simple possibilité de mauvais traitements ne suffit pas à entraîner l'application de l'art. 83 al. 3 LEtr. En effet, la personne concernée doit rendre hautement probable qu'elle serait visée directement par des mesures incompatibles avec les dispositions susmentionnées (cf. arrêt du Tribunal administratif fédéral C-7622/2007 précité consid. 6.2.2 et jurisprudence citée), ce que le recourant n'a pas établi. Il convient par ailleurs de relever que contrairement aux allégations du recourant, le Tribunal cantonal n'a pas retenu que le recourant avait fait l'objet de menaces d'enlèvement dans son pays de provenance. La Cour de droit administratif et public du Tribunal cantonal a en effet considéré que compte tenu de l'ensemble des circonstances du cas d'espèce, il n'était pas nécessaire d'entrer en matière sur la question de savoir si le recourant avait fait l'objet de menaces d'enlèvement dans son pays d'origine. A cela s'ajoute que l'intéressé n'a jamais allégué, ni a fortiori démontré, avoir sollicité la protection des autorités compétentes dans sa patrie, suite aux prétendues menaces proférées à son endroit. En effet, rien ne permet d'admettre que les autorités compétentes de son pays d'origine ne lui accorderaient pas une protection appropriée ou ne seraient pas en mesure de le faire, ni encore qu'elle soutiendraient, encourageraient ou toléraient des menaces d'enlèvement proférées par un tiers (cf. sur les points qui précèdent l'arrêt du Tribunal administratif fédéral C-7622/2007 du 19 août 2009 consid. 6.2.2 et la jurisprudence citée).</w:t>
      </w:r>
    </w:p>
    <w:p>
      <w:r>
        <w:rPr>
          <w:b/>
        </w:rPr>
        <w:t>E. 8.2.3</w:t>
      </w:r>
    </w:p>
    <w:p>
      <w:r>
        <w:t>Finalement, il sied de relever que le recourant garde la possibilité, s'il le juge nécessaire, de s'établir dans une autre région de son pays que celle de son domicile antérieur (cf. à cet égard arrêt du Tribunal fédéral 2A.156/2005 du 17 mars 2005 consid. 2.1; cf. arrêt du Tribunal administratif fédéral C-7115/2009 du 31 mars 2011 consid. 6.4).</w:t>
      </w:r>
    </w:p>
    <w:p>
      <w:r>
        <w:rPr>
          <w:b/>
        </w:rPr>
        <w:t>E. 8.2.4</w:t>
      </w:r>
    </w:p>
    <w:p>
      <w:r>
        <w:t>C'est le lieu ici de rappeler que bien que la procédure administrative soit régie essentiellement par la maxime inquisitoire, selon laquelle l'autorité définit les faits pertinents et les preuves nécessaires, qu'elle ordonne et apprécie d'office, les parties ont le devoir de collaborer à l'établissement des faits (cf. ATF 128 II 139 consid. 2b, 120 V 357 consid. 1a, voir également arrêts du Tribunal fédéral 2C_703/2008 du 8 janvier 2009 consid. 5.1, 2A.592/2006 du 25 janvier 2007 consid. 4.2 et réf. citées). Ainsi, le principe de la maxime inquisitoriale est limité dans la mesure où l'autorité compétente ne procède spontanément à des constatations de fait complémentaires ou n'examine d'autres points de droit que si les indices correspondants ressortent des griefs présentés ou des pièces du dossier (cf. notamment ATF 119 V 349 consid. 1a, 117 Ib 117 consid. 4a; JAAC 68.58 consid. 1c et 64.35 consid. 1b). Comme mentionné ci-avant, de tels indices concernant la vraisemblance des menaces auxquels le recourant soutient être exposé de la part d'une tierce personne dans son pays d'origine ne résultent pas des pièces du dossier, en sorte que l'on ne saurait attendre de l'autorité intimée ou du Tribunal de céans que ces derniers procèdent à des investigations complémentaires sur ce point (cf. arrêt du Tribunal administratif fédéral C-7622/2007 consid. 6.2.2.). En outre, la procédure en matière de recours administratif est en principe écrite. Il n'est ainsi procédé à l'audition de parties ou de témoins que si de telles mesures d'instruction paraissent indispensables à l'établissement des faits de la cause (art. 14 al. 1 let. c PA). Il s'ensuit que l'autorité est fondée à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136 I 229 consid. 5.3). Au vu de ce qui précède, le Tribunal de céans considère qu'il n'y a pas lieu de donner suite aux réquisitions formulées dans le cadre de la procédure de recours tendant à procéder à l'audition personnelle du recourant.</w:t>
      </w:r>
    </w:p>
    <w:p>
      <w:r>
        <w:rPr>
          <w:b/>
        </w:rPr>
        <w:t>E. 8.3</w:t>
      </w:r>
    </w:p>
    <w:p>
      <w:r>
        <w:t>S'agissant du caractère raisonnablement exigible de l'exécution du renvoi, il apparaît que la région d'origine d' A._______ ne connaît pas, en l'état, une situation de guerre, de guerre civile ou de violence généralisée qui permettrait de présumer l'existence d'une mise en danger concrète au sens de l'art. 83 al. 4 LEtr. L'exécution du renvoi de l'intéressé est donc raisonnablement exigible.</w:t>
      </w:r>
    </w:p>
    <w:p>
      <w:r>
        <w:rPr>
          <w:b/>
        </w:rPr>
        <w:t>E. 9</w:t>
      </w:r>
    </w:p>
    <w:p>
      <w:r>
        <w:t>Il ressort de ce qui précède que la décision de l'ODM du 18 mars 2011 est conforme au droit. Le recours est en conséquence rejeté. Vu l'issue de la cause, les frais de procédure sont mis à la charge du recourant (cf. art. 63 al. 1 PA et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