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C-1870/2007 vom 22. Juli 2009</w:t>
      </w:r>
    </w:p>
    <w:p>
      <w:r>
        <w:t>Bundesverwaltungsgericht, 2009-07-22, DE</w:t>
      </w:r>
    </w:p>
    <w:p>
      <w:r>
        <w:rPr>
          <w:b/>
        </w:rPr>
        <w:t xml:space="preserve">Quelle: </w:t>
      </w:r>
      <w:r>
        <w:t>https://mcp.opencaselaw.ch/entscheid/bvger_C-1870_2007</w:t>
      </w:r>
    </w:p>
    <w:p>
      <w:r>
        <w:t>FR: TAF C-1870/2007 du 22 juillet 2009</w:t>
      </w:r>
    </w:p>
    <w:p>
      <w:r>
        <w:t>IT: TAF C-1870/2007 del 22 luglio 2009</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gestützt auf die Verordnung über die Ausstellung von Reisedokumenten für ausländische Personen.</w:t>
      </w:r>
    </w:p>
    <w:p>
      <w:r>
        <w:rPr>
          <w:b/>
        </w:rPr>
        <w:t>E. 1.2</w:t>
      </w:r>
    </w:p>
    <w:p>
      <w:r>
        <w:t>Gemäss Art. 37 VGG richtet sich das Verfahren vor dem Bundesverwaltungsgericht nach dem VwVG, soweit das Verwaltungsgerichtsgesetz nichts anderes bestimmt. Das Urteil des Bundesverwaltungsgerichts ist endgültig (Art. 1 Abs. 2 VGG i.V.m. Art. 83 Bst. c Ziff. 6 des Bundesgerichtsgesetzes vom 17. Juni 2005 [BGG, SR 173.110]).</w:t>
      </w:r>
    </w:p>
    <w:p>
      <w:r>
        <w:rPr>
          <w:b/>
        </w:rPr>
        <w:t>E. 1.3</w:t>
      </w:r>
    </w:p>
    <w:p>
      <w:r>
        <w:t>Der Beschwerdeführer ist als Verfügungsadressat durch die angefochtene Verfügung besonders berührt und hat ein schutzwürdiges Interesse an deren Aufhebung. Auf die frist- und formgerecht eingereichte Beschwerde ist daher einzutreten (Art. 48 ff. VwVG).</w:t>
      </w:r>
    </w:p>
    <w:p>
      <w:r>
        <w:rPr>
          <w:b/>
        </w:rPr>
        <w:t>E. 1.4</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2.1</w:t>
      </w:r>
    </w:p>
    <w:p>
      <w:r>
        <w:t>Anspruch auf einen Pass für eine ausländische Person haben nach dem Übereinkommen vom 28. September 1954 über die Rechtsstellung der Staatenlosen (SR 0.142.40) als staatenlos anerkannte ausländische Personen sowie schriftenlose ausländische Personen mit Niederlassungsbewilligung (vgl. Art. 4 Abs. 1 RDV). Sofern sie als schriftenlos gelten, kann ein solcher Pass auch an ausländische Personen mit Jahresaufenthaltsbewilligung abgegeben werden (vgl. Art. 4 Abs. 2 RDV).</w:t>
      </w:r>
    </w:p>
    <w:p>
      <w:r>
        <w:rPr>
          <w:b/>
        </w:rPr>
        <w:t>E. 2.2</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7 Abs. 1 Bst. a RDV), oder für welche die Beschaffung von Reisedokumenten unmöglich ist (Art. 7 Abs. 1 Bst. b RDV). Die Schriftenlosigkeit wird im Rahmen der Gesuchsprüfung durch das BFM festgestellt (Art. 7 Abs. 3 RDV).</w:t>
      </w:r>
    </w:p>
    <w:p>
      <w:r>
        <w:rPr>
          <w:b/>
        </w:rPr>
        <w:t>E. 3.1</w:t>
      </w:r>
    </w:p>
    <w:p>
      <w:r>
        <w:t>Es ist deshalb zu prüfen, ob die Vorinstanz beim Beschwerdeführer zu Recht dessen Schriftenlosigkeit verneint hat, indem sie die Möglichkeit und Zumutbarkeit zur Beschaffung eines heimatlichen Reisepasses als gegeben erachtete. Die Frage, ob die Beschaffung von Reisedokumenten bei den Heimatbehörden von den betreffenden Personen verlangt werden kann (bzw. die Zumutbarkeit), ist dabei nicht nach subjektiven, sondern nach objektiven Massstäben zu beurteilen (vgl. Urteile des Bundesgerichts 2A.335/2006 vom 18. Oktober 2006 E. 2.1, 2A.12/2005 und 2A.13/2005 vom 25. April 2005 E. 3.2, 2A.176/2004 vom 30. August 2004 E. 2.1, 2A.186/2000 vom 28. Juli 2000 E. 2d).</w:t>
      </w:r>
    </w:p>
    <w:p>
      <w:r>
        <w:rPr>
          <w:b/>
        </w:rPr>
        <w:t>E. 3.2</w:t>
      </w:r>
    </w:p>
    <w:p>
      <w:r>
        <w:t>Aufgrund der Aktenlage ist davon auszugehen, dass der Rekurrent zurzeit über keinen gültigen heimatlichen Reisepass verfügt. Damit eine Rückkehr in den Heimatstaat jederzeit möglich bleibt, müssen ausländische Personen während ihres Aufenthaltes in der Schweiz im Besitze eines gültigen, nach Art. 13 Abs. 1 des Bundesgesetzes vom 16. Dezember 2005 über die Ausländerinnen und Ausländer (AuG, SR 142.20)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Diese Verpflichtung bestand im Übrigen bereits unter der altrechtlichen Regelung (vgl. Art. 3 des Bundesgesetzes vom 26. März 1931 über Aufenthalt und Niederlassung der Ausländer [ANAG, BS 1 121], Art. 5 der Vollziehungsverordnung vom 1. März 1949 zum Bundesgesetz über Aufenthalt und Niederlassung der Ausländer [ANAV, AS 1949 228]). Zu Recht macht der Beschwerdeführer, dessen Asylverfahren längst abgeschlossen ist und der seit bald zwei Jahrzehnten über einen fremdenpolizeilich geregelten Aufenthalt in der Schweiz verfügt, denn auch nicht geltend, von ihm könne die Kontaktnahme mit den heimatlichen Behörden zwecks Ausstellung eines eritreischen Reisepasses nicht verlangt werden. Aus den Akten geht diesbezüglich hervor, dass ihm am 19. Juni 2000 von der eritreischen Vertretung in Genf eine heimatliche Identitätskarte ausgestellt worden ist.</w:t>
      </w:r>
    </w:p>
    <w:p>
      <w:r>
        <w:rPr>
          <w:b/>
        </w:rPr>
        <w:t>E. 3.3</w:t>
      </w:r>
    </w:p>
    <w:p>
      <w:r>
        <w:t>Der Beschwerdeführer erachtet vielmehr die Ausstellung eines heimatlichen Reisedokumentes als objektiv unmöglich und bringt in diesem Zusammenhang vor, eritreische Staatsbürgerinnen und Staatsbürger, die im Ausland lebten, könnten heimatliche Pässe und weitere konsularische Dienste nur erhalten, wenn die lückenlose Bezahlung einer zweiprozentigen Einkommenssteuer nachgewiesen sei. In diesem Zusammenhang weist die Vorinstanz in ihrer Verfügung darauf hin, dass es Teil der staatlichen Souveränität von Eritrea sei, die Höhe der Gebühren für die Ausstellung von Reisepässen festzulegen respektive zu bestimmen, inwieweit Abgaben für im Ausland wohnhafte Staatsangehörige vorgesehen seien. Dieser Auffassung ist zuzustimmen, kommt doch dem Heimatstaat bei der Ausübung seiner Passhoheit ein erheblicher Gestaltungsspielraum zu, den es zu respektieren gilt. Demnach kann es nicht Aufgabe der schweizerischen Behörden sein, Ersatzreisepapiere an ausländische Personen abzugeben, welche die formellen Voraussetzungen für die Ausstellung eines heimatlichen Reisepasses nicht zu erfüllen vermögen; andernfalls führte dies zu einem unzulässigen Eingriff in die Souveränität des betroffenen Drittstaates (vgl. Urteil des Bundesverwaltungsgerichts C-3044/2007 vom 23. Januar 2009 E. 3.3). Keine entscheidswesentliche Bedeutung kommt dem Einwand des Beschwerdeführers zu, "die finanzielle Unterstützung der repressiven eritreischen Regierung" aus ethischen Gründen nicht mehr vertreten zu können (vgl. Gesuch vom 24. Januar 2007). Damit wird - wie das BFM in seiner Vernehmlassung zutreffend festgehalten hat - die grundsätzliche Möglichkeit zur Beschaffung eines heimatlichen Reisepasses nicht in Frage gestellt. In casu erweist sich somit die Beschaffung eines eritreischen Reisedokumentes nicht als objektiv unmöglich im Sinne von Art. 7 Abs. 1 Bst. b RDV.</w:t>
      </w:r>
    </w:p>
    <w:p>
      <w:r>
        <w:rPr>
          <w:b/>
        </w:rPr>
        <w:t>E. 3.4</w:t>
      </w:r>
    </w:p>
    <w:p>
      <w:r>
        <w:t>Der Beschwerdeführer kann daher nicht als schriftenlos im Sinne von Artikel 7 RDV bezeichnet werden, weshalb die Vorinstanz dessen Gesuch zu Recht abgelehnt hat. An dieser Beurteilung vermag auch der Hinweis des Rekurrenten, wonach ihm in der Vergangenheit ein Ersatzreisepapier ausgestellt worden sei, nichts zu ändern, erfolgte doch die Ausstellung eines sogenannten "Identitätsausweises für schriftenlose Ausländer" vor mehr als 17 Jahren und unter der Annahme, beim Beschwerdeführer handle es sich um einen äthiopischen Staatsangehörigen. Andererseits entbindet die frühere Ausstellung eines Ersatzreisepapiers das BFM nicht von der Pflicht, die Abgabevoraussetzungen - namentlich die Schriftenlosigkeit einer Person - im Rahmen der Prüfung eines neuen Gesuches von Amtes wegen festzustellen und jeweils von Grund auf neu zu prüfen (Art. 7 Abs. 3 RDV).</w:t>
      </w:r>
    </w:p>
    <w:p>
      <w:r>
        <w:rPr>
          <w:b/>
        </w:rPr>
        <w:t>E. 4</w:t>
      </w:r>
    </w:p>
    <w:p>
      <w:r>
        <w:t>Aus diesen Darlegungen folgt, dass die angefochtene Verfügung Bundesrecht nicht verletzt. Der rechtserhebliche Sachverhalt wurde richtig und vollständig festgestellt, und die Vorinstanz hat das ihr zustehende Ermessen pflichtgemäss und zutreffend gehandhabt (vgl. Art. 49 VwVG). Die Beschwerde ist demzufolge abzuweisen.</w:t>
      </w:r>
    </w:p>
    <w:p>
      <w:r>
        <w:rPr>
          <w:b/>
        </w:rPr>
        <w:t>E. 5</w:t>
      </w:r>
    </w:p>
    <w:p>
      <w:r>
        <w:t>Bei diesem Ausgang des Verfahrens wäre der Beschwerdeführer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 womit das Gesuch um Gewährung der unentgeltlichen Rechtspflege gegenstandslos wird.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