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C-1851/2010 vom 21. September 2011</w:t>
      </w:r>
    </w:p>
    <w:p>
      <w:r>
        <w:t>Bundesverwaltungsgericht, 2011-09-21, DE</w:t>
      </w:r>
    </w:p>
    <w:p>
      <w:r>
        <w:rPr>
          <w:b/>
        </w:rPr>
        <w:t xml:space="preserve">Quelle: </w:t>
      </w:r>
      <w:r>
        <w:t>https://mcp.opencaselaw.ch/entscheid/bvger_C-1851_2010</w:t>
      </w:r>
    </w:p>
    <w:p>
      <w:r>
        <w:t>FR: TAF C-1851/2010 du 21 septembre 2011</w:t>
      </w:r>
    </w:p>
    <w:p>
      <w:r>
        <w:t>IT: TAF C-1851/2010 del 21 settembre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mit Hinweisen).</w:t>
      </w:r>
    </w:p>
    <w:p>
      <w:r>
        <w:rPr>
          <w:b/>
        </w:rPr>
        <w:t>E. 3</w:t>
      </w:r>
    </w:p>
    <w:p>
      <w:r>
        <w:t>Der angefochtenen Verfügung liegt das Gesuch eines kenianischen Staats­angehörigen um Erteilung eines Visums für einen sechswöchigen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Der Gesuchsteller unterliegt als kenianischer Staatsangehöriger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des Gesuchstellers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Das Abstützen auf die Herkunft einer gesuchstellenden Per­son und die Inanspruchnahme bestimmter allgemeiner Kriterien bei der Prü­fung eines Gesuchs sind - entgegen der Meinung des Beschwerdefüh­rers - weder diskriminierend noch willkürlich. Die unter­schiedliche Behandlung je nach Herkunftsland ist schon in der Regelung der Visumspflicht bzw. Visumsbefreiung angelegt.</w:t>
      </w:r>
    </w:p>
    <w:p>
      <w:r>
        <w:rPr>
          <w:b/>
        </w:rPr>
        <w:t>E. 5.3</w:t>
      </w:r>
    </w:p>
    <w:p>
      <w:r>
        <w:t>Obwohl Kenia die leistungsfähigste Volkswirtschaft in der ostafrikani­schen Region ausweisen kann, leben trotzdem knapp 60% der Bevölke­rung unterhalb der Armutsgrenze. Ungefähr 25% der Bevölkerung müs­sen mit weniger als 1 US-Dollar pro Tag auskommen (Quelle: Webseite des Deutschen Auswärtigen Amtes: www.auswaertiges-amt.de &gt; Länder, Reise, Sicherheit &gt; Auswahl Kenia &gt; Wirtschaftspolitik, Stand: November 2010, besucht im Juli 2011). Geschätzte 40% [Stand 2008] der arbeitsfähi­gen Bevölkerung sind arbeitslos (Quelle: Webseite der Central In­telligence Agency [CIA]: www.cia.gov The World Factbook Auswahl Kenya Economy, besucht im Juli 2011). Entsprechend hoch ist der An­teil jener, die versuchen, nach Westeuropa - unter anderem auch in die Schweiz - zu gelangen, um sich unter günstigeren 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Zulassungsregelung nicht selten zur Umge­hung ausländerrechtlicher Bestimmungen.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Beim Gesuchsteller handelt es sich um einen 20-jährigen ledigen Mann. Gemäss den im Zusammenhang mit dem Familiennachzugsge­such am 12. November 2006 abgegebenen schriftlichen Auskünften wurde er ausserehelich geboren. Sein Vater war schon seit 1983 mit einer Schweizer Bürgerin (der Stief- bzw. Adoptivmutter) verheiratet und lebte hier in der Schweiz. Zu seiner leiblichen Mutter (einer tansanischen Staatsangehörigen) habe der Gesuchsteller nie eine Beziehung gehabt. Er sei bei einer Tante und nach deren Tod bei einem Onkel aufgewachsen. Heute lebt er bei seiner Schwester und deren Familie in einem gemeinsamen Haushalt in Mom­basa. Damit mag ein minimales familiäres Beziehungsnetz vor Ort beste­hen. Eigentliche Verpflichtungen familiärer Natur, welche die Prognose ei­ner fristgerechten und anstandslosen Wiederausreise nach einem Besuchs­aufenthalt in der Schweiz begünstigen könnten, sind daraus aber nicht abzuleiten. Im Gegenteil: Der Gesuchsteller, der sich noch in Ausbil­dung befindet, dürfte in gewisser Weise von seiner Schwester abhängig sein. Dass der Ehemann der Schwester beruflich oft im Ausland und sie selbst deshalb aus Sicherheitsgründen froh über die Anwesenheit des Bru­ders sei (wie die Adoptivmutter in ihrem undatierten, mit der Replik einge­reichten Schreiben ausführt), mag ein Element mit bindender Wir­kung sein, kann aber sicherlich nicht von einer allfälligen Emigration abhal­ten. Auf der anderen Seite leben mit dem Vater, der Stief- resp. Adop­tivmutter und den drei Halbgeschwistern nahe Angehörige in der Schweiz, zu denen erklärtermassen seit je her eine enge Beziehung bestand. Der Besuch dieser Angehörigen steht denn auch im Vordergrund; dass der Freund der Halbschwester als Gastgeber und Be­schwerdeführer auftritt, hat offensichtlich eher praktische Gründe. Vor dem aufgezeigten familiären Hintergrund kann tatsächlich nicht ausge­schlossen werden, dass beim Gesuchsteller auch heute noch der Wunsch bestehen könnte, mit der Familie in der Schweiz zusammen zu leben.</w:t>
      </w:r>
    </w:p>
    <w:p>
      <w:r>
        <w:rPr>
          <w:b/>
        </w:rPr>
        <w:t>E. 6.2</w:t>
      </w:r>
    </w:p>
    <w:p>
      <w:r>
        <w:t>Tritt hinzu, dass die Zukunftspläne und -perspektiven des Gesuch­stel­lers - gemessen an seinem Alter - recht unbestimmt erscheinen. Im Zeitpunkt des Visumantrags ging er noch zur Schule, so den Ge­suchs­akten zu entnehmen. Ob er inzwischen - wie damals geplant - die Schule erfolgreich beendet und mit einem Studium begonnen hat, ist nicht bekannt. Im Fragebogen zum Visumsantrag vom 23. November 2009 vermerkte der Gesuchsteller, er werde ein Ingenieurstudium ergrei­fen, machte dann aber schon zwei Wochen später am 8. Dezember 2009 in einer als "appeal against rejection of visting visa" betitelten schriftlichen Eingabe gegenüber der Schweizer Vertretung in Nairobi geltend, er strebe eine juristische Karriere in seiner Heimat an. Die in der Schweiz le­benden Angehörigen gehen demgegenüber davon aus, dass der Ge­suchsteller nach einem allfälligen Studium den familieneigenen Restaurati­onsbetrieb übernehmen werde, welcher heute noch von der Schwester geführt wird (so die Adoptivmutter in der erwähnten schriftli­chen Stellungnahme). Ob der Gesuchsteller das tatsächlich will und wel­che wirtschaftlichen Perspektiven dies bieten könnte, darüber ist allerdings nichts bekannt.</w:t>
      </w:r>
    </w:p>
    <w:p>
      <w:r>
        <w:rPr>
          <w:b/>
        </w:rPr>
        <w:t>E. 6.3</w:t>
      </w:r>
    </w:p>
    <w:p>
      <w:r>
        <w:t>Der Beschwerdeführer stösst sich daran, dass die Vorinstanz die sei­nerzeitigen Bemühungen des Gesuchstellers und seiner hier ansässi­gen Angehörigen für eine Aufenthaltsregelung in der Schweiz als Risiko für eine nicht anstandslose Wiederausreise wertet. Zwar trifft zu, dass das in Frage stehende Familiennachzugsverfahren schon fast fünf Jahre zu­rück­liegt, und dem Antrag Veränderungen in den Betreuungsverhältnis­sen in Kenia zugrunde gelegt wurden. Der Gesuchsteller war damals noch minderjäh­rig, und die Frage einer Betreuung dürfte sich heute nicht oder zu­mindest nicht mehr im gleichen Masse stellen, zumal er ja jetzt bei der Schwerster lebt. Gerade vor dem Hintergrund der in Kenia vergleichs­weise prekären wirtschaftlichen Verhältnisse und eingeschränkten Berufsperspektiven kann aber nicht ausgeschlossen werden, dass ein Leben in der Schweiz auch aus solchen Gründen favorisiert wird. Kommt hinzu, dass die im Oktober 2006 bean­tragte Aufenthaltsregelung in der Schweiz damals - entgegen der Dar­stel­lung der Adoptivmutter in ihrer schriftlichen Stellungnahme zuhan­den des Beschwerdeverfahrens - nicht als vorübergehende Lösung präsentiert wurde und die Beteiligten klar zum Ausdruck brachten, dass es ihnen nicht nur um die Sicherstellung der Betreuung, sondern um die Zu­sammenführung von Familienangehörigen ging.</w:t>
      </w:r>
    </w:p>
    <w:p>
      <w:r>
        <w:rPr>
          <w:b/>
        </w:rPr>
        <w:t>E. 6.4</w:t>
      </w:r>
    </w:p>
    <w:p>
      <w:r>
        <w:t>Nach dem bisher Gesagten durfte die Vorinstanz davon ausgehen, dass keine hinreichende Gewähr für eine fristgerechte und anstandslose Wiederausreise des Gesuchstellers nach einem Besuchsaufenthalt be­steht. An dieser Einschätzung vermögen die gegenteiligen Zusicherungen des Beschwerdeführers und der Stiefmutter (in ihrer vorerwähnten Stellung­nahme) nichts zu ändern. Der Beschwerdeführer kann zwar als Gastgeber mit rechtlich verbindlicher Wirkung für bestimmte finanzielle Risi­ken im Zusammenhang mit dem Besuchsaufenthalt, nicht aber für ein bestimmtes Tun oder Unterlassen seines Gastes einstehen (vgl. in die­sem Zusammenhang BVGE 2009/27 E. 9).</w:t>
      </w:r>
    </w:p>
    <w:p>
      <w:r>
        <w:rPr>
          <w:b/>
        </w:rPr>
        <w:t>E. 6.5</w:t>
      </w:r>
    </w:p>
    <w:p>
      <w:r>
        <w:t>Gründe für die Ausstellung eines Visums mit räumlich beschränkter Gültigkeit (vgl. E. 4.5.) sind keine ersichtlich. Insbesondere kann nicht als er­stellt betrachtet werden, dass es der Stiefmutter des Gesuchstellers aus gesundheitlichen Gründen nicht möglich ist, diesen in Kenia zu besu­chen. Den eingereichten Unfallscheinen lässt sich lediglich entnehmen, dass die Stiefmutter im Zeitraum des Visumsverfahrens arbeitsunfähig war. Die Arbeitsunfähigkeit endete dann per 1. Juni 2010. Eine allfällige Rei­seunfähigkeit nach diesem Zeitpunkt wurde weder näher erläutert noch belegt. Bereits aus diesem Grunde verfängt schliesslich auch die Rüge nicht, wonach eine Einreiseverweigerung einen unzulässigen Ein­griff in das von Art. 8 EMRK geschützte Familienleben darstellen würde (vgl. in diesem Zusammenhang die Urteile des Bundesverwaltungsge­richts C-6364/2009 vom 6. Juni 2011 E. 6.3.1. ff. und C-7190/2009 vom 17. Juni 2011 E. 8.4.). Sowohl dem Beschwerdeführer wie auch den in der Schweiz lebenden Angehörigen des Gesuchstellers ist es möglich und auch zumutbar, persönliche Kontakte durch Besuche in Kenia zu pfle­gen.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