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C-1850/2012 vom 17. Juli 2012</w:t>
      </w:r>
    </w:p>
    <w:p>
      <w:r>
        <w:t>Bundesverwaltungsgericht, 2012-07-17, DE</w:t>
      </w:r>
    </w:p>
    <w:p>
      <w:r>
        <w:rPr>
          <w:b/>
        </w:rPr>
        <w:t xml:space="preserve">Quelle: </w:t>
      </w:r>
      <w:r>
        <w:t>https://mcp.opencaselaw.ch/entscheid/bvger_C-1850_2012</w:t>
      </w:r>
    </w:p>
    <w:p>
      <w:r>
        <w:t>FR: TAF C-1850/2012 du 17 juillet 2012</w:t>
      </w:r>
    </w:p>
    <w:p>
      <w:r>
        <w:t>IT: TAF C-1850/2012 del 17 luglio 2012</w:t>
      </w:r>
    </w:p>
    <w:p>
      <w:pPr>
        <w:pStyle w:val="Heading2"/>
      </w:pPr>
      <w:r>
        <w:t>Regeste</w:t>
      </w:r>
    </w:p>
    <w:p>
      <w:r>
        <w:t>Rückvergütung von Beiträgen</w:t>
      </w:r>
    </w:p>
    <w:p>
      <w:pPr>
        <w:pStyle w:val="Heading2"/>
      </w:pPr>
      <w:r>
        <w:t>Erwägungen</w:t>
      </w:r>
    </w:p>
    <w:p>
      <w:r>
        <w:rPr>
          <w:b/>
        </w:rPr>
        <w:t>E. 1</w:t>
      </w:r>
    </w:p>
    <w:p>
      <w:r>
        <w:t>Die Beschwerde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Je eine Kopie der Eingaben der Vorinstanz vom 29. Juni 2012 und 6. Juli 2012 geht zur Kenntnisnahme an den Beschwerdeführer.</w:t>
      </w:r>
    </w:p>
    <w:p>
      <w:r>
        <w:rPr>
          <w:b/>
        </w:rPr>
        <w:t>E. 5</w:t>
      </w:r>
    </w:p>
    <w:p>
      <w:r>
        <w:t>Dieser Entscheid geht an: - den Beschwerdeführer (Gerichtsurkunde; Beilagen: je eine Kopie der Eingaben der Vorinstanz vom 29. Juni 2012 und 6. Juli 2012) - die Vorinstanz (Ref-Nr. [...]; Einschreiben)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