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C-1844/2014 vom 24. April 2015</w:t>
      </w:r>
    </w:p>
    <w:p>
      <w:r>
        <w:t>Bundesverwaltungsgericht, 2015-04-24, FR</w:t>
      </w:r>
    </w:p>
    <w:p>
      <w:r>
        <w:rPr>
          <w:b/>
        </w:rPr>
        <w:t xml:space="preserve">Quelle: </w:t>
      </w:r>
      <w:r>
        <w:t>https://mcp.opencaselaw.ch/entscheid/bvger_C-1844_2014</w:t>
      </w:r>
    </w:p>
    <w:p>
      <w:r>
        <w:t>FR: TAF C-1844/2014 du 24 avril 2015</w:t>
      </w:r>
    </w:p>
    <w:p>
      <w:r>
        <w:t>IT: TAF C-1844/2014 del 24 aprile 2015</w:t>
      </w:r>
    </w:p>
    <w:p>
      <w:pPr>
        <w:pStyle w:val="Heading2"/>
      </w:pPr>
      <w:r>
        <w:t>Regeste</w:t>
      </w:r>
    </w:p>
    <w:p>
      <w:r>
        <w:t>suite à la dissolution de la famille</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sur réexamen rendues par le SEM (qui constitue une unité de l'administration fédérale au sens de l'art. 33 let. d LTAF) en matière de réexamen d'une décision de refus d'approbation à la prolongation d'une autorisation de séjour et de renvoi sont susceptibles de recours au Tribunal, qui statue de manière définitive (cf. art. 1 al. 2 LTAF).</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attaquée (cf. André MOSER et al. Prozessieren vor dem Bundesverwaltungsgericht, 2013, ch. 3.197). Aussi peut-elle admettre ou rejeter le pourvoi pour d'autres motifs que ceux invoqués (ATAF 2014/1 consid. 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45s., 80s. et 171ss).</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de la Confédération suisse du 18 avril 1999 (Cst., RS 101).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p. 181, ATF 127 I 133 consid. 6 p. 137s., et la jurisprudence citée; ATAF 2010/5 consid. 2.1.1 p. 59, et la jurisprudence et doc­­tri­­ne citées).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p. 181s., ATF 131 II 329 consid. 3.2 p. 336s.) La procédure extraordi­nai­re ne saurait toutefois servir de prétexte pour remettre continuellement en question des décisions entrées en force, ni sur­­tout viser à éluder les dispositions léga­les sur les délais de recours (cf. ATF 136 II précité consid. 2.1 p. 181, ATF 127 I préci­té, loc. cit., et la juris­pru­dence citée).</w:t>
      </w:r>
    </w:p>
    <w:p>
      <w:r>
        <w:rPr>
          <w:b/>
        </w:rPr>
        <w:t>E. 3.3</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135 II 38 consid. 1.2, ATF 113 Ia 146 consid. 3c, ATF 109 Ib 246 consid. 4a ; voir également arrêt du Tribunal fédéral 2C_38/2008 du 2 mai 2008 consid. 2.2). Les conclusions du recourant (soit "l'objet du litige" ou "Streitgegenstand") sont donc limitées par les questions tranchées dans le dispositif de la décision querellée (soit "l'objet de la contestation" ou "Anfechtungsgegenstand" ; cf. ATF 134 V 418 consid. 5.2.1). Celles qui en sortent, en particulier les questions portant sur le fond de l'affaire, ne sont pas recevables (cf. ATF 135 II 38 consid. 1.2 et ATF 125 V 413 consid. 1).</w:t>
      </w:r>
    </w:p>
    <w:p>
      <w:r>
        <w:rPr>
          <w:b/>
        </w:rPr>
        <w:t>E. 3.4</w:t>
      </w:r>
    </w:p>
    <w:p>
      <w:r>
        <w:t>Aussi, dans la mesure où la demande de réexamen à la base de la présente procédure n'a pas fait l'objet d'un examen au fond, les conclusions du recourant tendant à l'octroi de l'admission provisoire sont irrecevables, car extrinsèques à l'objet du litige.</w:t>
      </w:r>
    </w:p>
    <w:p>
      <w:r>
        <w:rPr>
          <w:b/>
        </w:rPr>
        <w:t>E. 4</w:t>
      </w:r>
    </w:p>
    <w:p>
      <w:r>
        <w:t>Dans son prononcé, le SEM a estimé que A._______ n'avait allégué, dans sa demande de réexamen du 18 juin 2013, aucun fait nouveau important, ni aucun changement notable de circonstances susceptible de justifier la reconsidération de sa décision du 16 juin 2010. Le Tribunal ne saurait partager ce point de vue. Force est de constater en effet que la demande de réexamen du 18 juin 2013 se fonde sur un rapport médical établi le 23 mai 2013 par le Dresse C._______, dans lequel l'état de santé (notamment psychique) de A._______ est exposé de manière circonstanciée. Or, au regard du diagnostic et du status psychiatrique du recourant tels qu'établis par la Dresse C._______ dans le rapport précité, dont il y avait lieu de conclure que la situation médicale de l'intéressé avait évolué et s'était péjorée depuis le prononcé de la décision du 16 juin 2010, le SEM aurait dû se saisir de cette requête et procéder à un réexamen approfondi de la situation du recourant. Le Tribunal considère dès lors, compte tenu de la nature et de l'importance des troubles psychiques allégués dans la requête du 18 juin 2013 (fondés sur le rapport médical du 23 mai 2013 et le diagnostic posé par le Dresse C._______, soit: trouble dépressif récurrent, épisode actuel sévère (F33.2), troubles mixtes de la personnalité à traits dépendante et évitants (F61), syndrome de dépendance aux opiacés, sous faible substitution, épilepsie traitée par 4 mg de Rivotril, hépatite C en cours d'investigation et insuffisance tricuspidienne sur endocardite), que le SEM aurait dû entrer en matière sur cette demande, procéder à un examen au fond des arguments soulevés par le recourant et se prononcer en particulier sur la question de la licéité et de l'exigibilité de l'exécution de son renvoi en Tunisie dans le contexte médical et psychiatrique soulevé dans sa demande de réexamen. Il ressort de ce qui précède que la décision du 4 mars 2014, par laquelle le SEM a prononcé l'irrecevabilité de la demande de réexamen du 18 juin 2013 n'est pas conforme au droit. 5.Le recours est en conséquence admis, au sens des considérants, dans la mesure où il est recevable. La décision attaquée est annulée et l'ODM est invité à entrer en matière sur la demande de réexamen du recourant. L'autorité inférieure n'a pas à supporter de frais de procédure (art. 63 al. 2 PA). Compte tenu de l'issue de la cause, il n'est pas perçu de frais de procédure (art. 63 al. 1 PA a contrario). Le recourant a par ailleurs droit à des dépens pour les frais nécessaires causés par le litige (cf. art. 7 al. 1 du règlement du 21 février 2008 concernant les frais, dépens et indemnités fixés par le Tribunal administratif fédéral [FITAF, RS 173.320.2] et art. 64 al. 1 PA). Au vu de l'ensemble des circonstances du cas, de l'importance de l'affaire, du degré de difficulté de cette dernière et de l'ampleur du travail accompli par la mandataire, qui n'exerce pas la profession d'avocat (cf. art. 10 FITAF), les dépens sont arrêtés, au regard des art. 8ss et de l'art. 14 al. 2 FITAF, à Fr. 600.-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