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C-1843/2023 vom 22. Februar 2023</w:t>
      </w:r>
    </w:p>
    <w:p>
      <w:r>
        <w:t>Bundesverwaltungsgericht, 2023-02-22, IT</w:t>
      </w:r>
    </w:p>
    <w:p>
      <w:r>
        <w:rPr>
          <w:b/>
        </w:rPr>
        <w:t xml:space="preserve">Quelle: </w:t>
      </w:r>
      <w:r>
        <w:t>https://mcp.opencaselaw.ch/entscheid/bvger_C-1843_2023_d20230222</w:t>
      </w:r>
    </w:p>
    <w:p>
      <w:r>
        <w:t>FR: TAF C-1843/2023 du 22 février 2023</w:t>
      </w:r>
    </w:p>
    <w:p>
      <w:r>
        <w:t>IT: TAF C-1843/2023 del 22 febbraio 2023</w:t>
      </w:r>
    </w:p>
    <w:p>
      <w:pPr>
        <w:pStyle w:val="Heading2"/>
      </w:pPr>
      <w:r>
        <w:t>Regeste</w:t>
      </w:r>
    </w:p>
    <w:p>
      <w:r>
        <w:t>Diritto alla rendita | Assicurazione per l'invalidità, domanda di rendita respinta (decisione del 22 febbraio 2023)</w:t>
      </w:r>
    </w:p>
    <w:p>
      <w:pPr>
        <w:pStyle w:val="Heading2"/>
      </w:pPr>
      <w:r>
        <w:t>Erwägungen</w:t>
      </w:r>
    </w:p>
    <w:p>
      <w:r>
        <w:rPr>
          <w:b/>
        </w:rPr>
        <w:t>E. 1</w:t>
      </w:r>
    </w:p>
    <w:p>
      <w:r>
        <w:t>consid. 3.2).</w:t>
      </w:r>
    </w:p>
    <w:p>
      <w:r>
        <w:rPr>
          <w:b/>
        </w:rPr>
        <w:t>E. 1.1</w:t>
      </w:r>
    </w:p>
    <w:p>
      <w:r>
        <w:t>Il Tribunale amministrativo federale (TAF) esamina d'ufficio e con piena cognizione la sua competenza rispettivamente l'ammissibilità dei gravami</w:t>
      </w:r>
    </w:p>
    <w:p>
      <w:r>
        <w:t>C-1843/2023 Pagina 7 che gli sono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e per quanto concerne la richiesta di una rendita d’invalidità, ammissibile. Per quanto concerne in- vece la richiesta relativa a una verifica dei suoi precedenti penali in Sviz- zera formulata con scritto del 6 giugno 2023 (cfr. doc. TAF 13), questo Tri- bunale rileva che la stessa esula dalle competenze di questo Tribunale ed è pertanto inammissibile.</w:t>
      </w:r>
    </w:p>
    <w:p>
      <w:r>
        <w:rPr>
          <w:b/>
        </w:rPr>
        <w:t>E. 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t>C-1843/2023 Pagina 8</w:t>
      </w:r>
    </w:p>
    <w:p>
      <w:r>
        <w:rPr>
          <w:b/>
        </w:rPr>
        <w:t>E. 2.1.1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rPr>
          <w:b/>
        </w:rPr>
        <w:t>E. 2.1.2</w:t>
      </w:r>
    </w:p>
    <w:p>
      <w:r>
        <w:t>Se la decisione sulla prima concessione di una rendita è emanata dopo il 1° gennaio 2022, ma il diritto alla rendita è nato prima di questa data, sono applicabili le disposizioni della LAI e dell’OAI nel tenore in vigore fino al 31 dicembre 2021 (Circolare dell’UFAS sull’invalidità e sulla rendita nell’assicurazione per l’invalidità [CIRAI; valida dal 1° gennaio 2022, stato al 1° luglio 2022], cifra marginale 9101; Circolare dell’UFAS concernente le disposizioni transitorie della riforma Ulteriore sviluppo dell’AI sul sistema di rendite lineare [C DT US AI; valida dal 1° gennaio 2022, stato al 1° gen- naio 2022], cifra marginale 1007).</w:t>
      </w:r>
    </w:p>
    <w:p>
      <w:r>
        <w:rPr>
          <w:b/>
        </w:rPr>
        <w:t>E. 2.1.3</w:t>
      </w:r>
    </w:p>
    <w:p>
      <w:r>
        <w:t>Nel caso in esame, potendo il diritto alla rendita nascere al più presto il 1° aprile 2022 (cfr. art. 29 LAI; domanda presentata il 7 ottobre 2021), si applicano di principio le disposizioni legali in vigore al 1° gennaio 2022.</w:t>
      </w:r>
    </w:p>
    <w:p>
      <w:r>
        <w:rPr>
          <w:b/>
        </w:rPr>
        <w:t>E. 2.2</w:t>
      </w:r>
    </w:p>
    <w:p>
      <w:r>
        <w:t>Giova altresì rilevare che il potere cognitivo di questo Tribunale è deli- mitato dalla data della decisione impugnata, in concreto il 22 febbraio 2023.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non- ché 9C_116/2010 del 20 aprile 2010 consid. 3.2.2; DTF 118 V 200 consid. 3a in fine).</w:t>
      </w:r>
    </w:p>
    <w:p>
      <w:r>
        <w:t>C-1843/2023 Pagina 9</w:t>
      </w:r>
    </w:p>
    <w:p>
      <w:r>
        <w:rPr>
          <w:b/>
        </w:rPr>
        <w:t>E. 3.1</w:t>
      </w:r>
    </w:p>
    <w:p>
      <w:r>
        <w:t>Il ricorrente è cittadino di uno Stato membro della Comunità europea, è domiciliato in Spagna e sussiste un nesso transfrontaliero, il medesimo essendo stato assicurato all’assicurazione per la vecchiaia, i superstiti e l’invalidità svizzera (AVS/AI; DTF 145 V 231 consid. 7.1, 143 V 354 consid. 4, 143 V 81 in particolare consid. 8.1), per cui è applicabile, di principio, l’ALC (RS 0.142.112.681) ed il relativo Allegato II che regola il coordina- mento dei sistemi di sicurezza sociale.</w:t>
      </w:r>
    </w:p>
    <w:p>
      <w:r>
        <w:rPr>
          <w:b/>
        </w:rPr>
        <w:t>E. 3.2</w:t>
      </w:r>
    </w:p>
    <w:p>
      <w:r>
        <w:t>L'allegato II ALC prevede in particolare che le parti contraenti applicano tra di loro, dal 1° aprile 2012, il regolamento (CE) n. 883/2004 del Parla- 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 lamento (CE) n. 883/2004 è stato ulteriormente modificato dai regolamenti (UE) n. 1244/2010 (RU 2015 343), n. 465/2012 (RU 2015 345) e n. 1224/2012 (RU 2015 353), applicabili nelle relazioni tra la Svizzera e gli Stati membri dell’Unione europea a decorrere dal 1° gennaio 2015. Tutta- via, anche in seguito all'entrata in vigore dell'ALC, l'organizzazione della procedura come pure l'esame delle condizioni di ottenimento di una rendita d'invalidità svizzera, sono regolate dal diritto interno svizzero (art. 4 e art. 46 cpv. 3 del Regolamento n. 883/2004 in relazione con l’Allegato II del regolamento medesimo; DTF 130 V 253 consid. 2.4).</w:t>
      </w:r>
    </w:p>
    <w:p>
      <w:r>
        <w:rPr>
          <w:b/>
        </w:rPr>
        <w:t>E. 4</w:t>
      </w:r>
    </w:p>
    <w:p>
      <w:r>
        <w:t>Secondo le norme applicabili, ogni richiedente, per avere diritto ad una ren- dita dell'assicurazione invalidità svizzera, deve adempiere cumulativa- mente le seguenti condizioni:  essere invalido ai sensi della LPGA e della LAI (art. 8 LPGA nonché art. 4, 28 cpv. 1 e 29 cpv. 1 LAI);  aver pagato i contributi all'AVS/AI svizzera o ad un'assicurazione sociale assimilata (art. 6 e 45 del regolamento [CE] n. 883/2004) di uno Stato membro dell'Unione europea (UE) o dell'Associazione europea di libero scambio (AELS), durante tre anni (art. 36 cpv. 1 LAI), ferma restando la necessità di un periodo contributivo minimo</w:t>
      </w:r>
    </w:p>
    <w:p>
      <w:r>
        <w:t>C-1843/2023 Pagina 10 in Svizzera di un anno (art. 36 cpv. 2 LAI in combinazione con l'art. 29 cpv. 1 LAVS; cfr. DTF 131 V 390; 130 V 335 consid. 3 e 4). Il ricorrente adempie in ogni caso la condizione della durata minima di con- tribuzione, avendo pagato contributi per più di tre anni, fermo restando che ha versato all’assicurazione svizzera per la vecchiaia, i superstiti e l’invali- dità contributi per più di un anno (cfr. doc. UAIE 2 [ripetuto in doc. UAIE 17]).</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L’invalidità è considerata insorgere quando, per na- tura e gravità, motiva il diritto alla singola prestazione (art. 4 cpv. 2 LAI). La nozione d'invalidità di cui all'art. 4 LAI e 8 LPGA è un concetto di carattere economico-giuridico e non medico (sentenze del TF 9C_318/2014 del 10 settembre 2014 consid. 3.1 e 8C_636/2010 del 17 gennaio 2011 consid. 3 con rinvii). Secondo l'art. 7 cpv. 1 LPGA, è considerata incapacità al gua- 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 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 cità al lavoro di lunga durata, possono essere prese in considerazione an- che le mansioni esigibili in un'altra professione o campo d'attività. L’assicu- 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5.2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w:t>
      </w:r>
    </w:p>
    <w:p>
      <w:r>
        <w:t>C-1843/2023 Pagina 11 un'incapacità al lavoro (art. 6 LPGA) almeno del 40% in media durante un anno senza notevole interruzione (lettera b) e al termine di questo anno è invalido (art. 8 LPGA) almeno al 40% (lettera c). In virtù dell’art. 28 cpv. 1bis LAI, la rendita secondo l’art. 28 cpv. 1 LAI non è concessa fintantoché non sono esaurite le possibilità d’integrazione secondo l’art. 8 cpv. 1bis e 1ter LAI.</w:t>
      </w:r>
    </w:p>
    <w:p>
      <w:r>
        <w:rPr>
          <w:b/>
        </w:rPr>
        <w:t>E. 5.3</w:t>
      </w:r>
    </w:p>
    <w:p>
      <w:r>
        <w:t>Ai sensi dell’art. 28b LAI, l’importo della rendita è determinato quale quota percentuale di una rendita intera (cpv. 1). Se il grado d’invalidità è compreso tra il 50 e il 69%, la quota percentuale corrisponde al grado d’in- validità (cpv. 2). Se il grado d’invalidità è uguale o superiore al 70%, l’assi- curato ha diritto a una rendita intera (cpv. 3). Se il grado d’invalidità è com- preso tra il 40 e il 49%, la rendita corrisponderà in modo lineare ad una quota dal 25 al 47,5% di una rendita intera (cpv. 4). Secondo l’art. 29 cpv. 4 LAI, le rendite corrispondenti a un grado d’invalidità inferiore al 50%, ma pari almeno al 40%, sono versate solo agli assicurati che sono domiciliati e dimorano abitualmente in Svizzera (art. 13 LPGA). In seguito all'entrata in vigore dell'Accordo sulla libera circolazione, la limi- tazione prevista dall'art. 29 cpv. 4 LAI non è più applicabile quando l'assi- curato è cittadino svizzero o cittadino dell'Unione europea (UE) e risiede in uno degli Stati membri dell’UE (art. 4 e 7 del regolamento [CE] n. 883/2004; DTF 130 V 253 consid. 2.3 e 3.1).</w:t>
      </w:r>
    </w:p>
    <w:p>
      <w:r>
        <w:rPr>
          <w:b/>
        </w:rPr>
        <w:t>E. 5.4</w:t>
      </w:r>
    </w:p>
    <w:p>
      <w:r>
        <w:t>L'art. 29 cpv. 1 LAI prevede che il diritto alla rendita nasce al più presto dopo sei mesi dalla data in cui l'assicurato ha rivendicato il diritto alle pre- stazioni conformemente all'art. 29 cpv. 1 LPGA (riservate altresì le condi- zioni dell'art. 28 cpv. 1 LAI; DTF 142 V 547 consid. 3.2), ma al più presto a partire dal mese seguente il compimento dei 18 anni. L'art. 29 cpv. 3 LAI precisa altresì che la rendita è versata all'inizio del mese in cui nasce il diritto.</w:t>
      </w:r>
    </w:p>
    <w:p>
      <w:r>
        <w:rPr>
          <w:b/>
        </w:rPr>
        <w:t>E. 6.1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 (DTF 132 V 93 consid. 4). Il compito del medico consiste nel porre un giu- dizio sullo stato di salute, nell’indicare in quale misura e in quali attività</w:t>
      </w:r>
    </w:p>
    <w:p>
      <w:r>
        <w:t>C-1843/2023 Pagina 12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 Determi- nante quindi per stabilire se un rapporto medico ha valore di prova non è né la sua origine né la sua denominazione, ad esempio, quale perizia o rapporto, ma il suo contenuto (134 V 231 consid. 5.1; 125 V 351 consid. 3a). Il rapporto medico deve altresì essere redatto da medici che dispon- gono delle qualifiche specialistiche richieste nel singolo caso (sentenze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riguardo va tuttavia pre- cisato che non si può pretendere dal giudice che raffronti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6.2</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 diziaria, il giudice deve valutare se questi referti medici sono atti a mettere</w:t>
      </w:r>
    </w:p>
    <w:p>
      <w:r>
        <w:t>C-1843/2023 Pagina 13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rPr>
          <w:b/>
        </w:rPr>
        <w:t>E. 6.3</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(SMR) e del servizio medico dell’UAIE sono da considerare quali rapporti medici in- terni all’amministrazione (sentenze del TF 9C_159/2016 del 2 novembre 2016 consid. 2.2 e 8C_197/2014 del 3 ottobre 2014 consid. 4). I rapporti del servizio medico regionale (SMR) o del servizio medico dell’UAIE hanno per funzione – a beneficio anche dell’amministrazione e</w:t>
      </w:r>
    </w:p>
    <w:p>
      <w:r>
        <w:t>C-1843/2023 Pagina 14 dei tribunali che altrimenti non dispongono necessariamente di simili cono- scenze specialistiche – di effettuare una sintesi delle informazioni e degli esami medici di cui agli atti di causa e di formulare delle raccomandazioni quanto al seguito da dare all’incarto da un punto di vista medico (sentenza del TF 9C_542/2011 del 26 gennaio 2012 consid. 4.1). In presenza di rap- porti medici contraddittori, devono indicare i motivi per cui si fondano su un rapporto piuttosto che su un altro o se occorre effettuare un complemento dell’istruttoria (DTF 142 V 58 consid. 5.1). Se i documenti agli atti non per- mettono di pronunciarsi sulle pretese giuridiche litigiose, non è possibile decidere unicamente sui rapporti medici interni all’amministrazione, ma oc- corre effettuare un completamento dell’istruttoria (sentenza del TF 9C_58/2011 del 25 marzo 2011 consid. 3.3). Per l’art. 54a cpv. 2 a 4 LAI, i servizi medici regionali (SMR) sono a dispo- sizione degli uffici AI per valutare le condizioni mediche del diritto alle pre- stazioni, stabiliscono la capacità funzionale dell’assicurato, determinante per l’AI secondo l’art. 6 LPGA, di esercitare un’attività lucrativa ragionevol- mente esigibile o di svolgere le mansioni consuete in una misura ragione- volmente esigibile e sono indipendenti per quanto concerne le decisioni in ambito medico nel caso specifico. Se occorre, i servizi medici regionali possono eseguire direttamente esami medici sugli assicurati; mettono per scritto i risultati degli esami (art. 49 cpv. 2 OAI [RS 831.201]). Ai rapporti del SMR può essere attribuito pieno valore probatorio come alle perizie mediche esterne, a condizione che essi sod- disfino i presupposti giurisprudenziali di una perizia medica (DTF 134 V 231 consid. 5.1) e siano redatti da un medico che dispone delle qualifiche specialistiche richieste nel singolo caso (DTF 137 V 210 consid. 1.2.1). Nel caso in cui sussista anche il minimo dubbio sull’affidabilità e sulla conclu- denza dei pareri medici del SMR, non è possibile decidere unicamente sui rapporti SMR, ma occorre effettuare un completamento dell’istruttoria (DTF 139 V 225 consid. 5.2; sentenza del TF 8C_262/2016 del 22 settembre 2016 consid. 4.2).</w:t>
      </w:r>
    </w:p>
    <w:p>
      <w:r>
        <w:rPr>
          <w:b/>
        </w:rPr>
        <w:t>E. 6.4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w:t>
      </w:r>
    </w:p>
    <w:p>
      <w:r>
        <w:t>C-1843/2023 Pagina 15 V 409 consid. 4.5.2), la capacità lavorativa esigibile di una persona che soffre di tali disturbi deve essere valutata sulla base di una visione d’in- sieme, nell’ambito di una procedura d’accertamento dei fatti strutturata fon- 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 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6.5</w:t>
      </w:r>
    </w:p>
    <w:p>
      <w:r>
        <w:t>Secondo una precedente giurisprudenza del Tribunale federale (v., sulla questione, DTF 145 V 215 consid. 4.1), le varie forme di dipendenza, in particolare l’alcolismo, la farmacodipendenza e la tossicodipendenza, non comportavano di per sé un’invalidità ai sensi della LAI. Potevano co- munque assumere rilievo dal punto di vista dell’assicurazione invalidità se avevano causato una malattia od un infortunio con effetti limitanti la capa- cità lavorativa oppure se esse erano la conseguenza di un pregiudizio fisico o mentale con valenza di malattia. Tuttavia, se le diagnosi che emergevano dall’accertamento medico erano essenzialmente dovute alla dipendenza, non sussisteva alcun disturbo psichico invalidante. Con la DTF 145 V 215, il Tribunale federale ha modificato la propria giurisprudenza, abbando- nando la presunzione secondo cui le sindromi da dipendenza ed i disturbi correlati all’uso di sostanze non giustificano di per sé un’invalidità ai sensi di legge e stabilendo che tali dipendenze e tali disturbi vanno considerati per principio come un danno alla salute (psichica) rilevante dal punto di vista del diritto dell’assicurazione invalidità (DTF 145 V 215 consid. 5.3.3 e 6). Il Tribunale federale ha pertanto deciso che anche per le sindromi da dipendenza diagnosticate in modo incontestabile da un medico specialista, come per qualsiasi altra malattia psichica, occorre accertare tramite la pro- cedura probatoria strutturata descritta nella DTF 141 V 281 se vi siano o meno ripercussioni sulla capacità al lavoro della persona interessata (DTF 145 V 215 consid. 6.3).</w:t>
      </w:r>
    </w:p>
    <w:p>
      <w:r>
        <w:t>C-1843/2023 Pagina 16</w:t>
      </w:r>
    </w:p>
    <w:p>
      <w:r>
        <w:rPr>
          <w:b/>
        </w:rPr>
        <w:t>E. 7</w:t>
      </w:r>
    </w:p>
    <w:p>
      <w:r>
        <w:t>Nel caso concreto, occorre esaminare se l’istruttoria effettuata dall’autorità inferiore sia sufficiente, o meno, per potere statuire nel caso di specie.</w:t>
      </w:r>
    </w:p>
    <w:p>
      <w:r>
        <w:rPr>
          <w:b/>
        </w:rPr>
        <w:t>E. 7.1</w:t>
      </w:r>
    </w:p>
    <w:p>
      <w:r>
        <w:t>Questo Tribunale osserva che la decisione impugnata si fonda sulla presa di posizione SMR del 29 novembre 2022 (doc. UAIE 29) del dott. K._______, medico SMR, specialista in medicina interna generale, il quale ha posto la diagnosi principale con influsso sulla capacità lavorativa di “di- sturbo mentale e del comportamento dovuto al consumo di oppiacei F11.2; disturbo mentale e del comportamento legato al consumo di sedativi e d’ip- notici F13.2; sostituzione con metadone”, e, quali diagnosi senza influsso sulla capacità lavorativa, di “epatite C, iperlipidemia, eccesso ponderale, tabagismo”. Il medico SMR ha quindi ritenuto nell’attività abituale (di mec- canico) una capacità lavorativa totale e che non vi sono limitazioni funzio- nali generali. Il medico SMR ha altresì indicato che un’attività di sostitu- zione non è medicalmente esigibile (recte: è medicalmente esigibile) rispet- tivamente che non si è in presenza di una sindrome senza patogenesi né eziologia chiara e senza constatazione di un deficit organico. Ha osservato che l’interessato è seguito per una politossicomania sostituita con meta- done da più di 10 anni e che la documentazione medica non mette in evi- denza problemi somatici che potrebbero essere invalidanti, né un disturbo psichiatrico indipendente dalla tossicomania. Con valutazione del 19 set- tembre 2023 – trasmessa insieme alla risposta di causa – il medico SMR ha ribadito le proprie conclusioni (cfr. allegato al doc. TAF 24).</w:t>
      </w:r>
    </w:p>
    <w:p>
      <w:r>
        <w:rPr>
          <w:b/>
        </w:rPr>
        <w:t>E. 7.2</w:t>
      </w:r>
    </w:p>
    <w:p>
      <w:r>
        <w:t>Per i motivi che saranno indicati di seguito, questo Tribunale non può condividere la valutazione del medico SMR su cui si basa la decisione im- pugnata perché appare contraddittoria e incompleta.</w:t>
      </w:r>
    </w:p>
    <w:p>
      <w:r>
        <w:rPr>
          <w:b/>
        </w:rPr>
        <w:t>E. 7.3</w:t>
      </w:r>
    </w:p>
    <w:p>
      <w:r>
        <w:t>Infatti, questo Tribunale osserva che il dott. K._______ ha, da un lato, posto la diagnosi principale con influsso sulla capacità lavorativa di “di- sturbo mentale e del comportamento dovuto al consumo di oppiacei F11.2; disturbo mentale e del comportamento legato al consumo di sedativi e d’ip- notici F13.2; sostituzione con metadone” e, dall’altro lato, non ha ricono- sciuto alcuna incapacità lavorativa. Certo, il medico SMR (peraltro non spe- cialista in psichiatria) ha precisato che dalla documentazione medica non emergono disturbi psichiatrici indipendenti dalla tossicodipendenza, tutta- via, secondo la nuova giurisprudenza del Tribunale federale di cui ai con- siderandi 6.4 e 6.5 della presente sentenza, seppure l’affezione psichiatrica sia da ascrivere a una dipendenza da droghe, la stessa deve essere esa- minata mediante una procedura d’accertamento strutturata. In altri termini, posta la diagnosi – incontestata e ritenuta dallo stesso medico SMR come</w:t>
      </w:r>
    </w:p>
    <w:p>
      <w:r>
        <w:t>C-1843/2023 Pagina 17 avente un’incidenza sulla capacità lavorativa – di disturbo mentale e del comportamento, l’autorità inferiore non poteva prescindere dall’espletare una perizia psichiatrica rispondente ai criteri di una procedura probatoria strutturata ai sensi della succitata giurisprudenza. Peraltro, va tenuto conto anche del fatto che dalla documentazione di cui agli atti appare che il ricor- rente fatichi a mantenere un posto di lavoro (v. segnatamente 3 mesi quale venditore e riparatore di veicoli a motore nel 2010 [doc. UAIE 23 pag. 59- 60, pag. 67-72 e pag. 75], 7 mesi quale netturbino urbano nel 2015 [doc. UAIE 23 pag. 22-28], una settimana quale operaio nel settembre del 2021 [doc. UAIE 27 pag. 6-8] e 2 giorni quale corriere/autista nel novembre 2021 [doc. UAIE 27 pag. 3-5]). Non è dato di sapere, allo stato attuale degli atti di cui all’incarto, se questa difficoltà a mantenere un lavoro sia da ascriversi alle affezioni (psichiatriche) di cui il ricorrente è affetto o ad altre cause. Inoltre, questo Tribunale osserva che i problemi psichiatrici di cui è affetto l’insorgente appaiono essere maggiormente complessi rispetto alla dia- gnosi posta dal medico SMR. Segnatamente, nel rapporto del 27 luglio 2022 del dott. B._______ (doc. UAIE 23 pag. 46), specialista in psichiatria, è – tra le altre affezioni – indicato che l’insorgente segue altresì un tratta- mento antidepressivo, ansiolitico e ipnotico con E._______, G._______, H._______ e J._______. Questo Tribunale osserva che di tale rapporto non è fatta menzione né nella presa di posizione del medico SMR del 29 no- vembre 2022, né nel progetto di decisione del 5 dicembre 2022, né nella decisione impugnata del 22 febbraio 2023, seppure il menzionato rapporto fosse già agli atti dell’incarto dell’autorità inferiore dal 10 agosto 2022 (cfr. indice degli atti dell’incarto dell’autorità inferiore). Ne consegue che all’au- torità inferiore non poteva sfuggire la necessità di effettuare ulteriori accer- tamenti mediante una perizia psichiatrica rispondente ai criteri di una pro- cedura probatoria strutturata al fine di potere determinare, con il necessario grado della verosimiglianza preponderante, l’influsso delle affezioni psi- chiatriche sulla capacità lavorativa del ricorrente.</w:t>
      </w:r>
    </w:p>
    <w:p>
      <w:r>
        <w:rPr>
          <w:b/>
        </w:rPr>
        <w:t>E. 8</w:t>
      </w:r>
    </w:p>
    <w:p>
      <w:r>
        <w:t>Per conseguenza, la decisione impugnata del 22 febbraio 2023, fondata su un accertamento insufficiente dei fatti giuridicamente rilevanti, viola il diritto federale ed incorre nell’annullamento.</w:t>
      </w:r>
    </w:p>
    <w:p>
      <w:r>
        <w:rPr>
          <w:b/>
        </w:rPr>
        <w:t>E. 9.1</w:t>
      </w:r>
    </w:p>
    <w:p>
      <w:r>
        <w:t>Quando il TAF annulla una decisione, esso può sostituirsi all'autorità inferiore e giudicare direttamente nel merito o rinviare la causa, con istru- zioni vincolanti, all'autorità inferiore per un nuovo giudizio (art. 61 PA). In particolare, esso si sostituirà all'autorità inferiore se gli atti sono completi e</w:t>
      </w:r>
    </w:p>
    <w:p>
      <w:r>
        <w:t>C-1843/2023 Pagina 18 comunque sufficienti a statuire sull'applicazione del diritto federale (sen- tenza del TF 9C_162/2007 del 3 aprile 2008 consid. 2.3 con rinvii; DTF 126 II 43; 125 II 326). Tale non è il caso nella presente fattispecie per i motivi precedentemente indicati.</w:t>
      </w:r>
    </w:p>
    <w:p>
      <w:r>
        <w:rPr>
          <w:b/>
        </w:rPr>
        <w:t>E. 9.2</w:t>
      </w:r>
    </w:p>
    <w:p>
      <w:r>
        <w:t>Gli atti di causa sono pertanto rinviati all'autorità inferiore affinché la stessa proceda a completare l'accertamento dei fatti giuridicamente rile- vanti e ad emanare una nuova decisione. L’autorità inferiore dovrà in par- ticolare fare effettuare una perizia medica bidisciplinare internistica (al fine di valutare lo stato di salute generale del ricorrente) e psichiatriaca che tenga altresì in considerazione eventuali effetti collaterali della farmacote- rapia, da svolgersi in Svizzera (i periti dovendo conoscere i principi della medicina assicurativa svizzera [v., fra le altre, le sentenze del TAF C- 4118/2020 del 18 febbraio 2022 consid. 10.3, C- 2102/2020 del 27 gen- naio 2022 consid. 7.11 e C-5774/2019 del 26 agosto 2021 consid. 6.2]), nonché ogni ulteriore esame (v. segnatamente la rettificazione della lordosi e gli iniziali cambiamenti degenerativi negli spazi L4-L5 e L5-S1 [cfr. rap- porto di radiologia del 28 marzo 2023 in cui sono descritti gli esiti di una radiografia della colonna lombosacrale eseguita il 9 gennaio 2023, allegato al doc. TAF 9]) che pure l’evoluzione nel tempo dello stato di salute del ricorrente dovesse rendere ancora necessario.</w:t>
      </w:r>
    </w:p>
    <w:p>
      <w:r>
        <w:rPr>
          <w:b/>
        </w:rPr>
        <w:t>E. 9.3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richiesto un accertamento peritale bidisciplinare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Peraltro, il Tri- 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 cessarie e le valuta liberamente. Secondo giurisprudenza, se il giudice</w:t>
      </w:r>
    </w:p>
    <w:p>
      <w:r>
        <w:t>C-1843/2023 Pagina 19 ritiene che i fatti non sono sufficientemente delucidati, può, peraltro non senza qualche limitazione (cfr. DTF 137 V 210 consid. 4.4.1.4), sia rinviare la causa all'amministrazione per completamento dell'istruzione sia proce- dere lui medesimo a tale istruzione complementare. Un rinvio all'ammini- 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(sentenza del TF 9C_162/2007 del 3 aprile 2008 consid. 2.3 con rinvii).</w:t>
      </w:r>
    </w:p>
    <w:p>
      <w:r>
        <w:rPr>
          <w:b/>
        </w:rPr>
        <w:t>E. 9.4</w:t>
      </w:r>
    </w:p>
    <w:p>
      <w:r>
        <w:t>Occorre peraltro rilevare che nell'ambito dell'accertamento ancora da esperire dall'autorità inferiore, a seguito del rinvio degli atti di causa, non sussiste l'eventualità di una nuova decisione dell'UAIE a detrimento dell'in- sorgente (cfr., sulla questione, DTF 137 V 314 consid. 3.2.4) dal momento che nella decisione impugnata del 22 febbraio 2023 l’autorità inferiore ha respinto la richiesta di rendita formulata dall’insorgente.</w:t>
      </w:r>
    </w:p>
    <w:p>
      <w:r>
        <w:rPr>
          <w:b/>
        </w:rPr>
        <w:t>E. 10.1</w:t>
      </w:r>
    </w:p>
    <w:p>
      <w:r>
        <w:t>Secondo la giurisprudenza del Tribunale federale, la parte che ha pre- sentato ricorso in materia d’assegnazione o rifiuto di prestazioni assicura- tive è reputata vincente, dal profilo delle ripetibili, anche se la causa è rin- viata all’amministrazione per complemento istruttorio e nuova decisione (DTF 137 V 210 consid. 7.1; sentenze del TF 8C_437/2017 del 21 febbraio 2018 consid. 6 e 8C_75/2017 del 24 ottobre 2017 consid. 6).</w:t>
      </w:r>
    </w:p>
    <w:p>
      <w:r>
        <w:rPr>
          <w:b/>
        </w:rPr>
        <w:t>E. 10.2</w:t>
      </w:r>
    </w:p>
    <w:p>
      <w:r>
        <w:t>Visto l’esito della causa, ritenuto che il ricorrente è vincente in causa, non sono prelevate delle spese processuali (art. 63 PA). La domanda di assistenza giudiziaria, nel senso della dispensa dal versamento del richie- sto anticipo a copertura delle presumibili spese processuali, è divenuta priva di oggetto. Nessuna spesa processuale è messa a carico dell’autorità inferiore (art. 63 cpv. 2 PA).</w:t>
      </w:r>
    </w:p>
    <w:p>
      <w:r>
        <w:rPr>
          <w:b/>
        </w:rPr>
        <w:t>E. 10.3</w:t>
      </w:r>
    </w:p>
    <w:p>
      <w:r>
        <w:t>Ritenuto che l'insorgente, anche se vincente in causa, non è rappre- sentato in questa sede da mandatario professionale e che non ha fatto valere, né risulta ad un esame d’ufficio, che abbia dovuto sopportare delle spese indispensabili e relativamente elevate in relazione alla presente pro- cedura di ricorso, non si giustifica l'attribuzione di spese ripetibili (art. 64 cpv. 1 PA in combinazione con l'art. 7 del regolamento del 21 febbraio 2008</w:t>
      </w:r>
    </w:p>
    <w:p>
      <w:r>
        <w:t>C-1843/2023 Pagina 20 sulle tasse e sulle spese ripetibili nelle cause dinanzi al Tribunale ammini- strativo federale [TS-TAF, RS 173.320.2]).</w:t>
      </w:r>
    </w:p>
    <w:p>
      <w:r>
        <w:t>(dispositivo alla pagina seguente)</w:t>
      </w:r>
    </w:p>
    <w:p>
      <w:r>
        <w:t>C-1843/2023 Pagina 21 Per questi motivi, il Tribunale amministrativo federale pronun- cia: 1. Il ricorso è accolto, nel senso che la decisione impugnata del 22 febbraio 2023 è annullata e gli atti di causa sono rinviati all’UAIE affinché proceda al completamento dell’istruttoria e alla pronuncia di una nuova decisione ai sensi dei considerandi. 2. Non si prelevano spese processuali. La domanda di assistenza giudiziaria, nel senso della dispensa dal versamento delle spese procesuali, è divenuta priva di oggetto. 3. Non si assegnano spese ripetibili. 4. Questa sentenza è comunicata al ricorrente, all'autorità inferiore e all’UFAS.</w:t>
      </w:r>
    </w:p>
    <w:p>
      <w:r>
        <w:t>Il presidente del collegio: La cancelliera:</w:t>
      </w:r>
    </w:p>
    <w:p>
      <w:r>
        <w:t>Vito Valenti Anna Borner</w:t>
      </w:r>
    </w:p>
    <w:p>
      <w:r>
        <w:t>I rimedi giuridici sono menzionati alla pagina seguente.</w:t>
      </w:r>
    </w:p>
    <w:p>
      <w:r>
        <w:t>C-1843/2023 Pagina 22 Rimedi giuridici: Contro la presente decisione può essere interposto ricorso in materia di diritto pubblico al Tribunale federale, Schweizerhofquai 6, 6004 Lucerna, entro un termine di 30 giorni dalla sua notifica (art. 82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