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C-1843/2023 vom 30. Mai 2024</w:t>
      </w:r>
    </w:p>
    <w:p>
      <w:r>
        <w:t>Bundesverwaltungsgericht, 2024-05-30, IT</w:t>
      </w:r>
    </w:p>
    <w:p>
      <w:r>
        <w:rPr>
          <w:b/>
        </w:rPr>
        <w:t xml:space="preserve">Quelle: </w:t>
      </w:r>
      <w:r>
        <w:t>https://mcp.opencaselaw.ch/entscheid/bvger_C-1843_2023</w:t>
      </w:r>
    </w:p>
    <w:p>
      <w:r>
        <w:t>FR: TAF C-1843/2023 du 30 mai 2024</w:t>
      </w:r>
    </w:p>
    <w:p>
      <w:r>
        <w:t>IT: TAF C-1843/2023 del 30 maggio 2024</w:t>
      </w:r>
    </w:p>
    <w:p>
      <w:pPr>
        <w:pStyle w:val="Heading2"/>
      </w:pPr>
      <w:r>
        <w:t>Regeste</w:t>
      </w:r>
    </w:p>
    <w:p>
      <w:r>
        <w:t>Diritto alla rendita</w:t>
      </w:r>
    </w:p>
    <w:p>
      <w:pPr>
        <w:pStyle w:val="Heading2"/>
      </w:pPr>
      <w:r>
        <w:t>Erwägungen</w:t>
      </w:r>
    </w:p>
    <w:p>
      <w:r>
        <w:rPr>
          <w:b/>
        </w:rPr>
        <w:t>E. 1</w:t>
      </w:r>
    </w:p>
    <w:p>
      <w:r>
        <w:t>consid. 3.2).</w:t>
      </w:r>
    </w:p>
    <w:p>
      <w:r>
        <w:rPr>
          <w:b/>
        </w:rPr>
        <w:t>E. 1.1</w:t>
      </w:r>
    </w:p>
    <w:p>
      <w:r>
        <w:t>Il Tribunale amministrativo federale (TAF) esamina d'ufficio e con piena cognizione la sua competenza rispettivamente l'ammissibilità dei gravami</w:t>
      </w:r>
    </w:p>
    <w:p>
      <w:r>
        <w:t>C-1843/2023 Pagina 7 che gli sono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e per quanto concerne la richiesta di una rendita d’invalidità, ammissibile. Per quanto concerne in- vece la richiesta relativa a una verifica dei suoi precedenti penali in Sviz- zera formulata con scritto del 6 giugno 2023 (cfr. doc. TAF 13), questo Tri- bunale rileva che la stessa esula dalle competenze di questo Tribunale ed è pertanto inammissibile.</w:t>
      </w:r>
    </w:p>
    <w:p>
      <w:r>
        <w:rPr>
          <w:b/>
        </w:rPr>
        <w:t>E. 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t>C-1843/2023 Pagina 8</w:t>
      </w:r>
    </w:p>
    <w:p>
      <w:r>
        <w:rPr>
          <w:b/>
        </w:rPr>
        <w:t>E. 2.1.1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rPr>
          <w:b/>
        </w:rPr>
        <w:t>E. 2.1.2</w:t>
      </w:r>
    </w:p>
    <w:p>
      <w:r>
        <w:t>Se la decisione sulla prima concessione di una rendita è emanata dopo il 1° gennaio 2022, ma il diritto alla rendita è nato prima di questa data, sono applicabili le disposizioni della LAI e dell’OAI nel tenore in vigore fino al 31 dicembre 2021 (Circolare dell’UFAS sull’invalidità e sulla rendita nell’assicurazione per l’invalidità [CIRAI; valida dal 1° gennaio 2022, stato al 1° luglio 2022], cifra marginale 9101; Circolare dell’UFAS concernente le disposizioni transitorie della riforma Ulteriore sviluppo dell’AI sul sistema di rendite lineare [C DT US AI; valida dal 1° gennaio 2022, stato al 1° gen- naio 2022], cifra marginale 1007).</w:t>
      </w:r>
    </w:p>
    <w:p>
      <w:r>
        <w:rPr>
          <w:b/>
        </w:rPr>
        <w:t>E. 2.1.3</w:t>
      </w:r>
    </w:p>
    <w:p>
      <w:r>
        <w:t>Nel caso in esame, potendo il diritto alla rendita nascere al più presto il 1° aprile 2022 (cfr. art. 29 LAI; domanda presentata il 7 ottobre 2021), si applicano di principio le disposizioni legali in vigore al 1° gennaio 2022.</w:t>
      </w:r>
    </w:p>
    <w:p>
      <w:r>
        <w:rPr>
          <w:b/>
        </w:rPr>
        <w:t>E. 2.2</w:t>
      </w:r>
    </w:p>
    <w:p>
      <w:r>
        <w:t>Giova altresì rilevare che il potere cognitivo di questo Tribunale è deli- mitato dalla data della decisione impugnata, in concreto il 22 febbraio 2023.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non- ché 9C_116/2010 del 20 aprile 2010 consid. 3.2.2; DTF 118 V 200 consid. 3a in fine).</w:t>
      </w:r>
    </w:p>
    <w:p>
      <w:r>
        <w:t>C-1843/2023 Pagina 9</w:t>
      </w:r>
    </w:p>
    <w:p>
      <w:r>
        <w:rPr>
          <w:b/>
        </w:rPr>
        <w:t>E. 3.1</w:t>
      </w:r>
    </w:p>
    <w:p>
      <w:r>
        <w:t>Il ricorrente è cittadino di uno Stato membro della Comunità europea, è domiciliato in Spagna e sussiste un nesso transfrontaliero, il medesimo essendo stato assicurato all’assicurazione per la vecchiaia, i superstiti e l’invalidità svizzera (AVS/AI; DTF 145 V 231 consid. 7.1, 143 V 354 consid. 4, 143 V 81 in particolare consid. 8.1), per cui è applicabile, di principio, l’ALC (RS 0.142.112.681) ed il relativo Allegato II che regola il coordina- mento dei sistemi di sicurezza sociale.</w:t>
      </w:r>
    </w:p>
    <w:p>
      <w:r>
        <w:rPr>
          <w:b/>
        </w:rPr>
        <w:t>E. 3.2</w:t>
      </w:r>
    </w:p>
    <w:p>
      <w:r>
        <w:t>L'allegato II ALC prevede in particolare che le parti contraenti applicano tra di loro, dal 1° aprile 2012, il regolamento (CE) n. 883/2004 del Parla- 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 lamento (CE) n. 883/2004 è stato ulteriormente modificato dai regolamenti (UE) n. 1244/2010 (RU 2015 343), n. 465/2012 (RU 2015 345) e n. 1224/2012 (RU 2015 353), applicabili nelle relazioni tra la Svizzera e gli Stati membri dell’Unione europea a decorrere dal 1° gennaio 2015. Tutta- via, anche in seguito all'entrata in vigore dell'ALC, l'organizzazione della procedura come pure l'esame delle condizioni di ottenimento di una rendita d'invalidità svizzera, sono regolate dal diritto interno svizzero (art. 4 e art. 46 cpv. 3 del Regolamento n. 883/2004 in relazione con l’Allegato II del regolamento medesimo; DTF 130 V 253 consid. 2.4).</w:t>
      </w:r>
    </w:p>
    <w:p>
      <w:r>
        <w:rPr>
          <w:b/>
        </w:rPr>
        <w:t>E. 4</w:t>
      </w:r>
    </w:p>
    <w:p>
      <w:r>
        <w:t>Secondo le norme applicabili, ogni richiedente, per avere diritto ad una ren- dita dell'assicurazione invalidità svizzera, deve adempiere cumulativa- mente le seguenti condizioni:  essere invalido ai sensi della LPGA e della LAI (art. 8 LPGA nonché art. 4, 28 cpv. 1 e 29 cpv. 1 LAI);  aver pagato i contributi all'AVS/AI svizzera o ad un'assicurazione sociale assimilata (art. 6 e 45 del regolamento [CE] n. 883/2004) di uno Stato membro dell'Unione europea (UE) o dell'Associazione europea di libero scambio (AELS), durante tre anni (art. 36 cpv. 1 LAI), ferma restando la necessità di un periodo contributivo minimo</w:t>
      </w:r>
    </w:p>
    <w:p>
      <w:r>
        <w:t>C-1843/2023 Pagina 10 in Svizzera di un anno (art. 36 cpv. 2 LAI in combinazione con l'art. 29 cpv. 1 LAVS; cfr. DTF 131 V 390; 130 V 335 consid. 3 e 4). Il ricorrente adempie in ogni caso la condizione della durata minima di con- tribuzione, avendo pagato contributi per più di tre anni, fermo restando che ha versato all’assicurazione svizzera per la vecchiaia, i superstiti e l’invali- dità contributi per più di un anno (cfr. doc. UAIE 2 [ripetuto in doc. UAIE 17]).</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L’invalidità è considerata insorgere quando, per na- tura e gravità, motiva il diritto alla singola prestazione (art. 4 cpv. 2 LAI). La nozione d'invalidità di cui all'art. 4 LAI e 8 LPGA è un concetto di carattere economico-giuridico e non medico (sentenze del TF 9C_318/2014 del 10 settembre 2014 consid. 3.1 e 8C_636/2010 del 17 gennaio 2011 consid. 3 con rinvii). Secondo l'art. 7 cpv. 1 LPGA, è considerata incapacità al gua- 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 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 cità al lavoro di lunga durata, possono essere prese in considerazione an- che le mansioni esigibili in un'altra professione o campo d'attività. L’assicu- 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5.2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w:t>
      </w:r>
    </w:p>
    <w:p>
      <w:r>
        <w:t>C-1843/2023 Pagina 11 un'incapacità al lavoro (art. 6 LPGA) almeno del 40% in media durante un anno senza notevole interruzione (lettera b) e al termine di questo anno è invalido (art. 8 LPGA) almeno al 40% (lettera c). In virtù dell’art. 28 cpv. 1bis LAI, la rendita secondo l’art. 28 cpv. 1 LAI non è concessa fintantoché non sono esaurite le possibilità d’integrazione secondo l’art. 8 cpv. 1bis e 1ter LAI.</w:t>
      </w:r>
    </w:p>
    <w:p>
      <w:r>
        <w:rPr>
          <w:b/>
        </w:rPr>
        <w:t>E. 5.3</w:t>
      </w:r>
    </w:p>
    <w:p>
      <w:r>
        <w:t>Ai sensi dell’art. 28b LAI, l’importo della rendita è determinato quale quota percentuale di una rendita intera (cpv. 1). Se il grado d’invalidità è compreso tra il 50 e il 69%, la quota percentuale corrisponde al grado d’in- validità (cpv. 2). Se il grado d’invalidità è uguale o superiore al 70%, l’assi- curato ha diritto a una rendita intera (cpv. 3). Se il grado d’invalidità è com- preso tra il 40 e il 49%, la rendita corrisponderà in modo lineare ad una quota dal 25 al 47,5% di una rendita intera (cpv. 4). Secondo l’art. 29 cpv. 4 LAI, le rendite corrispondenti a un grado d’invalidità inferiore al 50%, ma pari almeno al 40%, sono versate solo agli assicurati che sono domiciliati e dimorano abitualmente in Svizzera (art. 13 LPGA). In seguito all'entrata in vigore dell'Accordo sulla libera circolazione, la limi- tazione prevista dall'art. 29 cpv. 4 LAI non è più applicabile quando l'assi- curato è cittadino svizzero o cittadino dell'Unione europea (UE) e risiede in uno degli Stati membri dell’UE (art. 4 e 7 del regolamento [CE] n. 883/2004; DTF 130 V 253 consid. 2.3 e 3.1).</w:t>
      </w:r>
    </w:p>
    <w:p>
      <w:r>
        <w:rPr>
          <w:b/>
        </w:rPr>
        <w:t>E. 5.4</w:t>
      </w:r>
    </w:p>
    <w:p>
      <w:r>
        <w:t>L'art. 29 cpv. 1 LAI prevede che il diritto alla rendita nasce al più presto dopo sei mesi dalla data in cui l'assicurato ha rivendicato il diritto alle pre- stazioni conformemente all'art. 29 cpv. 1 LPGA (riservate altresì le condi- zioni dell'art. 28 cpv. 1 LAI; DTF 142 V 547 consid. 3.2), ma al più presto a partire dal mese seguente il compimento dei 18 anni. L'art. 29 cpv. 3 LAI precisa altresì che la rendita è versata all'inizio del mese in cui nasce il diritto.</w:t>
      </w:r>
    </w:p>
    <w:p>
      <w:r>
        <w:rPr>
          <w:b/>
        </w:rPr>
        <w:t>E. 6.1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w:t>
      </w:r>
    </w:p>
    <w:p>
      <w:r>
        <w:t>C-1843/2023 Pagina 12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(134 V 231 consid. 5.1; 125 V 351 consid. 3a). Il rapporto medico deve altresì essere redatto da medici che dispon- gono delle qualifiche specialistiche richieste nel singolo caso (sentenze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riguardo va tuttavia pre- cisato che non si può pretendere dal giudice che raffronti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6.2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w:t>
      </w:r>
    </w:p>
    <w:p>
      <w:r>
        <w:t>C-1843/2023 Pagina 13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rPr>
          <w:b/>
        </w:rPr>
        <w:t>E. 6.3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(SMR) e del servizio medico dell’UAIE sono da considerare quali rapporti medici in- terni all’amministrazione (sentenze del TF 9C_159/2016 del 2 novembre 2016 consid. 2.2 e 8C_197/2014 del 3 ottobre 2014 consid. 4). I rapporti del servizio medico regionale (SMR) o del servizio medico dell’UAIE hanno per funzione – a beneficio anche dell’amministrazione e</w:t>
      </w:r>
    </w:p>
    <w:p>
      <w:r>
        <w:t>C-1843/2023 Pagina 14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 Per l’art. 54a cpv. 2 a 4 LAI, i servizi medici regionali (SMR) sono a dispo- sizione degli uffici AI per valutare le condizioni mediche del diritto alle pre- stazioni, stabiliscono la capacità funzionale dell’assicurato, determinante per l’AI secondo l’art. 6 LPGA, di esercitare un’attività lucrativa ragionevol- mente esigibile o di svolgere le mansioni consuete in una misura ragione- volmente esigibile e sono indipendenti per quanto concerne le decisioni in ambito medico nel caso specifico. Se occorre, i servizi medici regionali possono eseguire direttamente esami medici sugli assicurati; mettono per scritto i risultati degli esami (art. 49 cpv. 2 OAI [RS 831.201]). Ai rapporti del SMR può essere attribuito pieno valore probatorio come alle perizie mediche esterne, a condizione che essi sod- disfino i presupposti giurisprudenziali di una perizia medica (DTF 134 V 231 consid. 5.1) e siano redatti da un medico che dispone delle qualifiche specialistiche richieste nel singolo caso (DTF 137 V 210 consid. 1.2.1). Nel caso in cui sussista anche il minimo dubbio sull’affidabilità e sulla conclu- denza dei pareri medici del SMR, non è possibile decidere unicamente sui rapporti SMR, ma occorre effettuare un completamento dell’istruttoria (DTF 139 V 225 consid. 5.2; sentenza del TF 8C_262/2016 del 22 settembre 2016 consid. 4.2).</w:t>
      </w:r>
    </w:p>
    <w:p>
      <w:r>
        <w:rPr>
          <w:b/>
        </w:rPr>
        <w:t>E. 6.4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w:t>
      </w:r>
    </w:p>
    <w:p>
      <w:r>
        <w:t>C-1843/2023 Pagina 15 V 409 consid. 4.5.2), la capacità lavorativa esigibile di una persona che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 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6.5</w:t>
      </w:r>
    </w:p>
    <w:p>
      <w:r>
        <w:t>Secondo una precedente giurisprudenza del Tribunale federale (v., sulla questione, DTF 145 V 215 consid. 4.1), le varie forme di dipendenza, in particolare l’alcolismo, la farmacodipendenza e la tossicodipendenza, non comportavano di per sé un’invalidità ai sensi della LAI. Potevano co- munque assumere rilievo dal punto di vista dell’assicurazione invalidità se avevano causato una malattia od un infortunio con effetti limitanti la capa- cità lavorativa oppure se esse erano la conseguenza di un pregiudizio fisico o mentale con valenza di malattia. Tuttavia, se le diagnosi che emergevano dall’accertamento medico erano essenzialmente dovute alla dipendenza, non sussisteva alcun disturbo psichico invalidante. Con la DTF 145 V 215, il Tribunale federale ha modificato la propria giurisprudenza, abbando- nando la presunzione secondo cui le sindromi da dipendenza ed i disturbi correlati all’uso di sostanze non giustificano di per sé un’invalidità ai sensi di legge e stabilendo che tali dipendenze e tali disturbi vanno considerati per principio come un danno alla salute (psichica) rilevante dal punto di vista del diritto dell’assicurazione invalidità (DTF 145 V 215 consid. 5.3.3 e 6). Il Tribunale federale ha pertanto deciso che anche per le sindromi da dipendenza diagnosticate in modo incontestabile da un medico specialista, come per qualsiasi altra malattia psichica, occorre accertare tramite la pro- cedura probatoria strutturata descritta nella DTF 141 V 281 se vi siano o meno ripercussioni sulla capacità al lavoro della persona interessata (DTF 145 V 215 consid. 6.3).</w:t>
      </w:r>
    </w:p>
    <w:p>
      <w:r>
        <w:t>C-1843/2023 Pagina 16</w:t>
      </w:r>
    </w:p>
    <w:p>
      <w:r>
        <w:rPr>
          <w:b/>
        </w:rPr>
        <w:t>E. 7</w:t>
      </w:r>
    </w:p>
    <w:p>
      <w:r>
        <w:t>Nel caso concreto, occorre esaminare se l’istruttoria effettuata dall’autorità inferiore sia sufficiente, o meno, per potere statuire nel caso di specie.</w:t>
      </w:r>
    </w:p>
    <w:p>
      <w:r>
        <w:rPr>
          <w:b/>
        </w:rPr>
        <w:t>E. 7.1</w:t>
      </w:r>
    </w:p>
    <w:p>
      <w:r>
        <w:t>Questo Tribunale osserva che la decisione impugnata si fonda sulla presa di posizione SMR del 29 novembre 2022 (doc. UAIE 29) del dott. K._______, medico SMR, specialista in medicina interna generale, il quale ha posto la diagnosi principale con influsso sulla capacità lavorativa di “di- sturbo mentale e del comportamento dovuto al consumo di oppiacei F11.2; disturbo mentale e del comportamento legato al consumo di sedativi e d’ip- notici F13.2; sostituzione con metadone”, e, quali diagnosi senza influsso sulla capacità lavorativa, di “epatite C, iperlipidemia, eccesso ponderale, tabagismo”. Il medico SMR ha quindi ritenuto nell’attività abituale (di mec- canico) una capacità lavorativa totale e che non vi sono limitazioni funzio- nali generali. Il medico SMR ha altresì indicato che un’attività di sostitu- zione non è medicalmente esigibile (recte: è medicalmente esigibile) rispet- tivamente che non si è in presenza di una sindrome senza patogenesi né eziologia chiara e senza constatazione di un deficit organico. Ha osservato che l’interessato è seguito per una politossicomania sostituita con meta- done da più di 10 anni e che la documentazione medica non mette in evi- denza problemi somatici che potrebbero essere invalidanti, né un disturbo psichiatrico indipendente dalla tossicomania. Con valutazione del 19 set- tembre 2023 – trasmessa insieme alla risposta di causa – il medico SMR ha ribadito le proprie conclusioni (cfr. allegato al doc. TAF 24).</w:t>
      </w:r>
    </w:p>
    <w:p>
      <w:r>
        <w:rPr>
          <w:b/>
        </w:rPr>
        <w:t>E. 7.2</w:t>
      </w:r>
    </w:p>
    <w:p>
      <w:r>
        <w:t>Per i motivi che saranno indicati di seguito, questo Tribunale non può condividere la valutazione del medico SMR su cui si basa la decisione im- pugnata perché appare contraddittoria e incompleta.</w:t>
      </w:r>
    </w:p>
    <w:p>
      <w:r>
        <w:rPr>
          <w:b/>
        </w:rPr>
        <w:t>E. 7.3</w:t>
      </w:r>
    </w:p>
    <w:p>
      <w:r>
        <w:t>Infatti, questo Tribunale osserva che il dott. K._______ ha, da un lato, posto la diagnosi principale con influsso sulla capacità lavorativa di “di- sturbo mentale e del comportamento dovuto al consumo di oppiacei F11.2; disturbo mentale e del comportamento legato al consumo di sedativi e d’ip- notici F13.2; sostituzione con metadone” e, dall’altro lato, non ha ricono- sciuto alcuna incapacità lavorativa. Certo, il medico SMR (peraltro non spe- cialista in psichiatria) ha precisato che dalla documentazione medica non emergono disturbi psichiatrici indipendenti dalla tossicodipendenza, tutta- via, secondo la nuova giurisprudenza del Tribunale federale di cui ai con- siderandi 6.4 e 6.5 della presente sentenza, seppure l’affezione psichiatrica sia da ascrivere a una dipendenza da droghe, la stessa deve essere esa- minata mediante una procedura d’accertamento strutturata. In altri termini, posta la diagnosi – incontestata e ritenuta dallo stesso medico SMR come</w:t>
      </w:r>
    </w:p>
    <w:p>
      <w:r>
        <w:t>C-1843/2023 Pagina 17 avente un’incidenza sulla capacità lavorativa – di disturbo mentale e del comportamento, l’autorità inferiore non poteva prescindere dall’espletare una perizia psichiatrica rispondente ai criteri di una procedura probatoria strutturata ai sensi della succitata giurisprudenza. Peraltro, va tenuto conto anche del fatto che dalla documentazione di cui agli atti appare che il ricor- rente fatichi a mantenere un posto di lavoro (v. segnatamente 3 mesi quale venditore e riparatore di veicoli a motore nel 2010 [doc. UAIE 23 pag. 59- 60, pag. 67-72 e pag. 75], 7 mesi quale netturbino urbano nel 2015 [doc. UAIE 23 pag. 22-28], una settimana quale operaio nel settembre del 2021 [doc. UAIE 27 pag. 6-8] e 2 giorni quale corriere/autista nel novembre 2021 [doc. UAIE 27 pag. 3-5]). Non è dato di sapere, allo stato attuale degli atti di cui all’incarto, se questa difficoltà a mantenere un lavoro sia da ascriversi alle affezioni (psichiatriche) di cui il ricorrente è affetto o ad altre cause. Inoltre, questo Tribunale osserva che i problemi psichiatrici di cui è affetto l’insorgente appaiono essere maggiormente complessi rispetto alla dia- gnosi posta dal medico SMR. Segnatamente, nel rapporto del 27 luglio 2022 del dott. B._______ (doc. UAIE 23 pag. 46), specialista in psichiatria, è – tra le altre affezioni – indicato che l’insorgente segue altresì un tratta- mento antidepressivo, ansiolitico e ipnotico con E._______, G._______, H._______ e J._______. Questo Tribunale osserva che di tale rapporto non è fatta menzione né nella presa di posizione del medico SMR del 29 no- vembre 2022, né nel progetto di decisione del 5 dicembre 2022, né nella decisione impugnata del 22 febbraio 2023, seppure il menzionato rapporto fosse già agli atti dell’incarto dell’autorità inferiore dal 10 agosto 2022 (cfr. indice degli atti dell’incarto dell’autorità inferiore). Ne consegue che all’au- torità inferiore non poteva sfuggire la necessità di effettuare ulteriori accer- tamenti mediante una perizia psichiatrica rispondente ai criteri di una pro- cedura probatoria strutturata al fine di potere determinare, con il necessario grado della verosimiglianza preponderante, l’influsso delle affezioni psi- chiatriche sulla capacità lavorativa del ricorrente.</w:t>
      </w:r>
    </w:p>
    <w:p>
      <w:r>
        <w:rPr>
          <w:b/>
        </w:rPr>
        <w:t>E. 8</w:t>
      </w:r>
    </w:p>
    <w:p>
      <w:r>
        <w:t>Per conseguenza, la decisione impugnata del 22 febbraio 2023, fondata su un accertamento insufficiente dei fatti giuridicamente rilevanti, viola il diritto federale ed incorre nell’annullamento.</w:t>
      </w:r>
    </w:p>
    <w:p>
      <w:r>
        <w:rPr>
          <w:b/>
        </w:rPr>
        <w:t>E. 9.1</w:t>
      </w:r>
    </w:p>
    <w:p>
      <w:r>
        <w:t>Quando il TAF annulla una decisione, esso può sostituirsi all'autorità inferiore e giudicare direttamente nel merito o rinviare la causa, con istru- zioni vincolanti, all'autorità inferiore per un nuovo giudizio (art. 61 PA). In particolare, esso si sostituirà all'autorità inferiore se gli atti sono completi e</w:t>
      </w:r>
    </w:p>
    <w:p>
      <w:r>
        <w:t>C-1843/2023 Pagina 18 comunque sufficienti a statuire sull'applicazione del diritto federale (sen- tenza del TF 9C_162/2007 del 3 aprile 2008 consid. 2.3 con rinvii; DTF 126 II 43;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 rile- vanti e ad emanare una nuova decisione. L’autorità inferiore dovrà in par- ticolare fare effettuare una perizia medica bidisciplinare internistica (al fine di valutare lo stato di salute generale del ricorrente) e psichiatriaca che tenga altresì in considerazione eventuali effetti collaterali della farmacote- rapia, da svolgersi in Svizzera (i periti dovendo conoscere i principi della medicina assicurativa svizzera [v., fra le altre, le sentenze del TAF C- 4118/2020 del 18 febbraio 2022 consid. 10.3, C- 2102/2020 del 27 gen- naio 2022 consid. 7.11 e C-5774/2019 del 26 agosto 2021 consid. 6.2]), nonché ogni ulteriore esame (v. segnatamente la rettificazione della lordosi e gli iniziali cambiamenti degenerativi negli spazi L4-L5 e L5-S1 [cfr. rap- porto di radiologia del 28 marzo 2023 in cui sono descritti gli esiti di una radiografia della colonna lombosacrale eseguita il 9 gennaio 2023, allegato al doc. TAF 9]) che pure l’evoluzione nel tempo dello stato di salute del ricorrente dovesse rendere ancora necessario.</w:t>
      </w:r>
    </w:p>
    <w:p>
      <w:r>
        <w:rPr>
          <w:b/>
        </w:rPr>
        <w:t>E. 9.3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accertamento peritale bidisciplinare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Peraltro, il Tri- 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 cessarie e le valuta liberamente. Secondo giurisprudenza, se il giudice</w:t>
      </w:r>
    </w:p>
    <w:p>
      <w:r>
        <w:t>C-1843/2023 Pagina 19 ritiene che i fatti non sono sufficientemente delucidati, può, peraltro non senza qualche limitazione (cfr. DTF 137 V 210 consid. 4.4.1.4), sia rinviare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 del 3 aprile 2008 consid. 2.3 con rinvii).</w:t>
      </w:r>
    </w:p>
    <w:p>
      <w:r>
        <w:rPr>
          <w:b/>
        </w:rPr>
        <w:t>E. 9.4</w:t>
      </w:r>
    </w:p>
    <w:p>
      <w:r>
        <w:t>Occorre peraltro rilevare che nell'ambito dell'accertamento ancora da esperire dall'autorità inferiore, a seguito del rinvio degli atti di causa, non sussiste l'eventualità di una nuova decisione dell'UAIE a detrimento dell'in- sorgente (cfr., sulla questione, DTF 137 V 314 consid. 3.2.4) dal momento che nella decisione impugnata del 22 febbraio 2023 l’autorità inferiore ha respinto la richiesta di rendita formulata dall’insorgente.</w:t>
      </w:r>
    </w:p>
    <w:p>
      <w:r>
        <w:rPr>
          <w:b/>
        </w:rPr>
        <w:t>E. 10.1</w:t>
      </w:r>
    </w:p>
    <w:p>
      <w:r>
        <w:t>Secondo la giurisprudenza del Tribunale federale, la parte che ha pre- sentato ricorso in materia d’assegnazione o rifiuto di prestazioni assicura- tive è reputata vincente, dal profilo delle ripetibili, anche se la causa è rin- viata all’amministrazione per complemento istruttorio e nuova decisione (DTF 137 V 210 consid. 7.1; sentenze del TF 8C_437/2017 del 21 febbraio 2018 consid. 6 e 8C_75/2017 del 24 ottobre 2017 consid. 6).</w:t>
      </w:r>
    </w:p>
    <w:p>
      <w:r>
        <w:rPr>
          <w:b/>
        </w:rPr>
        <w:t>E. 10.2</w:t>
      </w:r>
    </w:p>
    <w:p>
      <w:r>
        <w:t>Visto l’esito della causa, ritenuto che il ricorrente è vincente in causa, non sono prelevate delle spese processuali (art. 63 PA). La domanda di assistenza giudiziaria, nel senso della dispensa dal versamento del richie- sto anticipo a copertura delle presumibili spese processuali, è divenuta priva di oggetto. Nessuna spesa processuale è messa a carico dell’autorità inferiore (art. 63 cpv. 2 PA).</w:t>
      </w:r>
    </w:p>
    <w:p>
      <w:r>
        <w:rPr>
          <w:b/>
        </w:rPr>
        <w:t>E. 10.3</w:t>
      </w:r>
    </w:p>
    <w:p>
      <w:r>
        <w:t>Ritenuto che l'insorgente, anche se vincente in causa, non è rappre- sentato in questa sede da mandatario professionale e che non ha fatto valere, né risulta ad un esame d’ufficio, che abbia dovuto sopportare delle spese indispensabili e relativamente elevate in relazione alla presente pro- cedura di ricorso, non si giustifica l'attribuzione di spese ripetibili (art. 64 cpv. 1 PA in combinazione con l'art. 7 del regolamento del 21 febbraio 2008</w:t>
      </w:r>
    </w:p>
    <w:p>
      <w:r>
        <w:t>C-1843/2023 Pagina 20 sulle tasse e sulle spese ripetibili nelle cause dinanzi al Tribunale ammini- strativo federale [TS-TAF, RS 173.320.2]).</w:t>
      </w:r>
    </w:p>
    <w:p>
      <w:r>
        <w:t>(dispositivo alla pagina seguente)</w:t>
      </w:r>
    </w:p>
    <w:p>
      <w:r>
        <w:t>C-1843/2023 Pagina 21 Per questi motivi, il Tribunale amministrativo federale pronun- cia: 1. Il ricorso è accolto, nel senso che la decisione impugnata del 22 febbraio 2023 è annullata e gli atti di causa sono rinviati all’UAIE affinché proceda al completamento dell’istruttoria e alla pronuncia di una nuova decisione ai sensi dei considerandi. 2. Non si prelevano spese processuali. La domanda di assistenza giudiziaria, nel senso della dispensa dal versamento delle spese procesuali, è divenuta priva di oggetto. 3. Non si assegnano spese ripetibili. 4. Questa sentenza è comunicata al ricorrente, all'autorità inferiore e all’UFAS.</w:t>
      </w:r>
    </w:p>
    <w:p>
      <w:r>
        <w:t>Il presidente del collegio: La cancelliera:</w:t>
      </w:r>
    </w:p>
    <w:p>
      <w:r>
        <w:t>Vito Valenti Anna Borner</w:t>
      </w:r>
    </w:p>
    <w:p>
      <w:r>
        <w:t>I rimedi giuridici sono menzionati alla pagina seguente.</w:t>
      </w:r>
    </w:p>
    <w:p>
      <w:r>
        <w:t>C-1843/2023 Pagina 22 Rimedi giuridici: Contro la presente decisione può essere interposto ricorso in materia di diritto pubblico al Tribunale federale, Schweizerhofquai 6, 6004 Lucerna, entro un termine di 30 giorni dalla sua notifica (art. 82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