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C-1835/2014 vom 16. September 2015</w:t>
      </w:r>
    </w:p>
    <w:p>
      <w:r>
        <w:t>Bundesverwaltungsgericht, 2015-09-16, DE</w:t>
      </w:r>
    </w:p>
    <w:p>
      <w:r>
        <w:rPr>
          <w:b/>
        </w:rPr>
        <w:t xml:space="preserve">Quelle: </w:t>
      </w:r>
      <w:r>
        <w:t>https://mcp.opencaselaw.ch/entscheid/bvger_C-1835_2014</w:t>
      </w:r>
    </w:p>
    <w:p>
      <w:r>
        <w:t>FR: TAF C-1835/2014 du 16 septembre 2015</w:t>
      </w:r>
    </w:p>
    <w:p>
      <w:r>
        <w:t>IT: TAF C-1835/2014 del 16 settembre 2015</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2</w:t>
      </w:r>
    </w:p>
    <w:p>
      <w:r>
        <w:t>Als Adressat des die Einsprache abweisenden Entscheides ist der Beschwerdeführer davon berührt und er hat ein schutzwürdiges Interesse an deren Aufhebung oder Änderung (Art. 59 ATSG, Art. 48 Abs. 1 VwVG). Die Beschwerde wurde fristgerecht und formgerecht (vgl. Art. 38 ff. und Art. 60 ATSG, Art. 52 VwVG) eingereicht, weshalb darauf einzutreten ist.</w:t>
      </w:r>
    </w:p>
    <w:p>
      <w:r>
        <w:rPr>
          <w:b/>
        </w:rPr>
        <w:t>E. 3</w:t>
      </w:r>
    </w:p>
    <w:p>
      <w:r>
        <w:t>Zunächst sind die vorliegend massgebenden gesetzlichen Bestimmungen darzulegen.</w:t>
      </w:r>
    </w:p>
    <w:p>
      <w:r>
        <w:rPr>
          <w:b/>
        </w:rPr>
        <w:t>E. 3.1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3.2</w:t>
      </w:r>
    </w:p>
    <w:p>
      <w:r>
        <w:t>Anspruch auf eine Altersrente haben Männer, die das 65. Altersjahr und Frauen, die das 64. Altersjahr vollendet haben (Art. 21 Abs. 1 AHVG). Der Anspruch entsteht am ersten Tag des Monats, welcher der Vollendung des gemäss Abs. 1 massgebenden Altersjahres folgt (Art. 21 Abs. 2 AHVG).</w:t>
      </w:r>
    </w:p>
    <w:p>
      <w:r>
        <w:rPr>
          <w:b/>
        </w:rPr>
        <w:t>E. 3.3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3.4</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3.5</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EVG [heute Bundesgericht] H 41/04 vom 19. Oktober 2004 E. 4 sowie H 141/03 vom 8. Oktober 2003 E. 3.1).</w:t>
      </w:r>
    </w:p>
    <w:p>
      <w:r>
        <w:rPr>
          <w:b/>
        </w:rPr>
        <w:t>E. 3.6</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3.7</w:t>
      </w:r>
    </w:p>
    <w:p>
      <w:r>
        <w:t>Haben beide Ehegatten Anspruch auf eine Altersrente, darf die Summe der beiden Renten eines Ehepaars maximal 150 Prozent des Höchstbetrags der Altersrente betragen (Art. 35 Abs. 1 Bst. a AHVG; Plafonierung).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AHVV).</w:t>
      </w:r>
    </w:p>
    <w:p>
      <w:r>
        <w:rPr>
          <w:b/>
        </w:rPr>
        <w:t>E. 4</w:t>
      </w:r>
    </w:p>
    <w:p>
      <w:r>
        <w:t>Die Vorinstanz hat die einzelnen Schritte zur Berechnung der Rente des Beschwerdeführers - einschliesslich des Splittings der Einkommen (Art. 29quinquies Abs. 3 und 4 AHVG) sowie der Plafonierung der Renten für Ehepaare (Art. 35 AHVG i.V.m. Art. 53bis AHVV) - einlässlich und nachvollziehbar dargelegt. Darauf kann grundsätzlich verwiesen werden. Der Beschwerdeführer beanstandet die Rentenberechnung nur insoweit, als ihm nicht wie seiner Ehefrau eine Beitragszeit von 38 Monaten (sondern nur von 36 Monaten) angerechnet und nicht die Rentenskala 4 (sondern Rentenskala 3) angewendet worden seien.</w:t>
      </w:r>
    </w:p>
    <w:p>
      <w:r>
        <w:rPr>
          <w:b/>
        </w:rPr>
        <w:t>E. 4.1</w:t>
      </w:r>
    </w:p>
    <w:p>
      <w:r>
        <w:t>Wie im Einspracheentscheid (S. 2) zutreffend dargelegt wird, sind die vom Beschwerdeführer im Jahr 2011 (d.h. zwischen dem 31. Dezember vor dem Eintritt des Versicherungsfalles und der Entstehung des Rentenanspruchs) geleisteten 4 Beitragsmonate nicht zu berücksichtigen, weil sie nicht zur Füllung von Beitragslücken (vgl. Art. 29bis Abs. 1 AHVG i.V.m. Art. 52c AHVV) genügen. Damit ein (zusätzliches) volles Beitragsjahr angerechnet werden könnte, müsste eine Beitragsdauer von mindestens 11 Monaten vorliegen (vgl. Art. 50 AHVV). Der Beschwerdeführer weist laut Akten 3 volle Beitragsjahre (2008 bis 2010) auf.</w:t>
      </w:r>
    </w:p>
    <w:p>
      <w:r>
        <w:rPr>
          <w:b/>
        </w:rPr>
        <w:t>E. 4.2</w:t>
      </w:r>
    </w:p>
    <w:p>
      <w:r>
        <w:t>Selbst wenn dem Beschwerdeführer wie beantragt 38 Beitragsmonate angerechnet würden, käme nicht wie bei seiner Ehefrau die Rentenskala 4 zur Anwendung. Weil das Rentenalter bei Frauen 64, bei Männern hingegen 65 Jahre beträgt, ist die massgebende Beitragsdauer des Jahrgangs als Vergleichsgrösse (vgl. oben E. 3.3) nicht identisch. Der im Jahr 1946 geborene Beschwerdeführer hätte bei Eintritt des Versicherungsfalls für eine Vollrente eine Beitragsdauer von 44 Jahren aufweisen müssen, die 1949 geborene Ehefrau hingegen 43 Beitragsjahre (vgl. die vom Bundesamt für Sozialversicherungen [BSV] herausgegebenen Rententabellen 2013 [nachfolgend: BSV-Rententabellen], Jahrgangstabelle). Weist die versicherte Person bei Eintritt des Versicherungsfalls 3 statt 44 Beitragsjahre auf, kommt die Rentenskala 3 zur Anwendung. Weist sie hingegen 3 statt 43 Beitragsjahre auf, ist die Rentenskala 4 anwendbar (vgl. BSV-Rententabellen, Skalenwähler).</w:t>
      </w:r>
    </w:p>
    <w:p>
      <w:r>
        <w:rPr>
          <w:b/>
        </w:rPr>
        <w:t>E. 4.3</w:t>
      </w:r>
    </w:p>
    <w:p>
      <w:r>
        <w:t>Dass die Vorinstanz im Fall des Beschwerdeführers ihrer Berechnung die Rentenskala 3 zugrunde legte, ist demnach korrekt. Die übrigen Berechnungselemente werden vom Beschwerdeführer nicht in Frage gestellt und es bestehen keine Anhaltspunkte dafür, dass die Berechnung nicht rechtskonform erfolgte.</w:t>
      </w:r>
    </w:p>
    <w:p>
      <w:r>
        <w:rPr>
          <w:b/>
        </w:rPr>
        <w:t>E. 4.4</w:t>
      </w:r>
    </w:p>
    <w:p>
      <w:r>
        <w:t>Die Beschwerde erweist sich als offensichtlich unbegründet, weshalb sie im einzelrichterlichen Verfahren abzuweisen ist (Art. 23 Abs. 2 VGG i.V.m. Art. 85bis Abs. 3 AHVG).</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