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C-1834/2013 vom 6. März 2014</w:t>
      </w:r>
    </w:p>
    <w:p>
      <w:r>
        <w:t>Bundesverwaltungsgericht, 2014-03-06, FR</w:t>
      </w:r>
    </w:p>
    <w:p>
      <w:r>
        <w:rPr>
          <w:b/>
        </w:rPr>
        <w:t xml:space="preserve">Quelle: </w:t>
      </w:r>
      <w:r>
        <w:t>https://mcp.opencaselaw.ch/entscheid/bvger_C-1834_2013</w:t>
      </w:r>
    </w:p>
    <w:p>
      <w:r>
        <w:t>FR: TAF C-1834/2013 du 6 mars 2014</w:t>
      </w:r>
    </w:p>
    <w:p>
      <w:r>
        <w:t>IT: TAF C-1834/2013 del 6 marzo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Michael Beusch et Lorenz Kneubühler, Pro­zessieren vor dem Bundesverwaltungsgericht, Handbücher für die Anwaltspraxis, Tome X, Bâle 2013, p. 226-227, ad ch. 3.197, et Benoît Bovay, Procédure administrative, Berne 2000, p. 192 et 193, par. 6, ainsi que la jurisprudence citée). Aussi peut-elle admettre ou rejeter le pourvoi pour d'autres motifs que ceux invoqués. Dans son arrêt, elle prend en considération l'état de fait régnant au moment où elle statue (cf. ATAF 2012/21 consid. 5.1, 2011/43 consid. 6.1 et 2011/1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C-4143/2012 du 11 octobre 2012,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et ATAF 2009/27 consid. 3 et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 de Libye, X._______ est soumis à l'obligation du visa.</w:t>
      </w:r>
    </w:p>
    <w:p>
      <w:r>
        <w:rPr>
          <w:b/>
        </w:rPr>
        <w:t>E. 5</w:t>
      </w:r>
    </w:p>
    <w:p>
      <w:r>
        <w:t>Au vu de l'ensemble des éléments du dossier, le Tribunal considère qu'il existe un doute fondé quant au but du séjour en Suisse envisagé par le prénommé.</w:t>
      </w:r>
    </w:p>
    <w:p>
      <w:r>
        <w:rPr>
          <w:b/>
        </w:rPr>
        <w:t>E. 5.1</w:t>
      </w:r>
    </w:p>
    <w:p>
      <w:r>
        <w:t>Ainsi qu'il est exposé à l'art. 5 par. 1 let. c du code frontières Schengen, qui énumère les conditions d'entrée dans l'Espace Schengen pour les ressortissant d'Etats tiers, la personne qui souhaite entrer dans l'Espace Schengen pour un séjour n'excédant pas trois mois sur une période de six mois doit notamment justifier l'objet et les conditions du séjour envisagé.</w:t>
      </w:r>
    </w:p>
    <w:p>
      <w:r>
        <w:rPr>
          <w:b/>
        </w:rPr>
        <w:t>E. 5.2</w:t>
      </w:r>
    </w:p>
    <w:p>
      <w:r>
        <w:t>Or, dans le cas d'espèce, il ressort des pièces du dossier que l'Ambassade de Suisse à Tripoli a délivré à X._______, les 27 mars, 16 mai et 10 septembre 2012, trois visas, dont les deux derniers avec entrées multiples, pour que ce dernier puisse faire une visite familiale au recourant en Suisse. Le prénommé est ainsi venu à sept reprises sur le territoire helvétique entre le 6 avril et le 11 octobre 2012, date de sa dernière entrée en Suisse (cf. timbres humides apposés dans le passeport). Au vu de la fréquence des visites effectuées durant l'année 2012 et compte tenu du fait que l'hôte en Suisse, qui dispose de moyens financiers suffisants, pourrait aussi se rendre en Libye pour rendre visite à son frère, le Tribunal estime que la raison familiale invoquée à titre de motif pour l'octroi d'un nouveau visa paraît être en fait un prétexte. En effet, selon les allégations du recourant, X._______ serait retourné en Libye à trois reprises au volant d'une voiture achetée en Suisse après lui avoir rendu visite entre le mois d'avril et le mois d'octobre 2012. Les explications données par le recourant quant à l'achat de ces véhicules en Suisse, à savoir que son frère est "un grand amoureux des belles voitures", qui, après un moment "s'en lasse vite pour en vouloir une autre" (cf. opposition du 14 décembre 2012) et les dénégations quant à un usage commercial par l'intéressé ne convainquent guère, compte tenu de la fréquence des achats effectués par l'intéressé, soit trois véhicules en sept mois. Certes, le recourant a indiqué, dans son courrier du 10 février 2014, que son frère avait remplacé l'un des véhicules achetés suite à un accident en Libye et qu'il avait offert le troisième à son père. Cependant, le Tribunal constate que ces affirmations, qui n'ont au demeurant été étayées par aucun moyen de preuve, ne sont guère convaincantes et ne permettent en tout cas pas d'écarter les doutes qui résultent de ces circonstances.</w:t>
      </w:r>
    </w:p>
    <w:p>
      <w:r>
        <w:rPr>
          <w:b/>
        </w:rPr>
        <w:t>E. 5.3</w:t>
      </w:r>
    </w:p>
    <w:p>
      <w:r>
        <w:t>Cela étant, le Tribunal ne peut que considérer qu'il existe un doute fondé (au sens de l'art. 12 al. 2 let. c OEV) sur les motifs réels du séjour envisagé en Suisse et que le recourant n'a pas été à même d'écarter ce doute. Aussi, le Tribunal ne saurait retenir que le but du voyage en Suisse de l'intéressé soit suffisamment clair et défini pour permettre une nouvelle fois l'octroi d'un visa Schengen en sa faveur.</w:t>
      </w:r>
    </w:p>
    <w:p>
      <w:r>
        <w:rPr>
          <w:b/>
        </w:rPr>
        <w:t>E. 5.4</w:t>
      </w:r>
    </w:p>
    <w:p>
      <w:r>
        <w:t>Les conditions d'entrée prévues par le code frontières Schengen concernant le but du séjour envisagé n'étant pas remplies in casu, c'est donc de manière justifiée que l'ODM a écarté la demande de X._______.</w:t>
      </w:r>
    </w:p>
    <w:p>
      <w:r>
        <w:rPr>
          <w:b/>
        </w:rPr>
        <w:t>E. 5.5</w:t>
      </w:r>
    </w:p>
    <w:p>
      <w:r>
        <w:t>Vu ce qui précède, il n'est pas nécessaire d'examiner si l'ODM était fondé à considérer que le retour de l'intéressé dans son pays d'origine à l'échéance du visa sollicité ne pouvait être tenu pour suffisamment garanti.</w:t>
      </w:r>
    </w:p>
    <w:p>
      <w:r>
        <w:rPr>
          <w:b/>
        </w:rPr>
        <w:t>E. 6</w:t>
      </w:r>
    </w:p>
    <w:p>
      <w:r>
        <w:t>Le Tribunal relève par ailleurs que le désir exprimé par le frère de X._______ d'accueillir l'intéressé pour une visite familiale ne constitue pas à lui seul un motif justifiant l'octroi d'un visa, à propos duquel il ne saurait au demeurant se prévaloir d'aucun droit (cf. consid. 3).Certes,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8</w:t>
      </w:r>
    </w:p>
    <w:p>
      <w:r>
        <w:t>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 Ainsi, même si le recourant a affirmé que son frère ne pouvait plus obtenir de visa de la part des pays de l'Union européenne du fait du prononcé de la décision querellée, rien ne les empêche de se rencontrer dans un autre pays que ceux de l'Union européenne. A cela s'ajoute que les intéressés peuvent également maintenir leurs contacts par d'autres moyens tels que la communication téléphonique, les visioconférences et la correspondance. Il convient encore de relever que le recourant n'a pas invoqué de raisons susceptibles de justifier la délivrance d'un visa à validité territoriale limitée (cf. consid. 4.4 ci-avant).</w:t>
      </w:r>
    </w:p>
    <w:p>
      <w:r>
        <w:rPr>
          <w:b/>
        </w:rPr>
        <w:t>E. 9</w:t>
      </w:r>
    </w:p>
    <w:p>
      <w:r>
        <w:t>Compte tenu des considérants exposés ci-dessus, le Tribunal estime qu'il ne saurait être reproché à l'ODM d'avoir refusé la délivrance d'une autorisation d'entrée dans l'Espace Schengen en faveur de X._______. Il s'ensuit que, par sa décision du 8 mars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