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C-1826/2012 vom 29. August 2012</w:t>
      </w:r>
    </w:p>
    <w:p>
      <w:r>
        <w:t>Bundesverwaltungsgericht, 2012-08-29, DE</w:t>
      </w:r>
    </w:p>
    <w:p>
      <w:r>
        <w:rPr>
          <w:b/>
        </w:rPr>
        <w:t xml:space="preserve">Quelle: </w:t>
      </w:r>
      <w:r>
        <w:t>https://mcp.opencaselaw.ch/entscheid/bvger_C-1826_2012</w:t>
      </w:r>
    </w:p>
    <w:p>
      <w:r>
        <w:t>FR: TAF C-1826/2012 du 29 août 2012</w:t>
      </w:r>
    </w:p>
    <w:p>
      <w:r>
        <w:t>IT: TAF C-1826/2012 del 29 agosto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Art. 1 RDV).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E.2). 3.1 Machte die RDV vom 27. Oktober 2004 (AS 2004 4577) bei schriftenlosen schutzbedürftigen, vorläufig aufgenommenen oder asylsuchenden Personen das Ausstellen eines Identitätsausweises mit Rückreisevisum noch vom Nachweis spezifischer Reisegründe abhängig (vgl. Art. 5 Abs. 2 Bst. a bis c RDV von 2004), so verzichtet die revidierte RDV vom 20. Januar 2010 für vorläufig aufgenommene und schutzbedürftige Personen auf diese Reiserestriktionen. Gemäss Art. 4 Abs. 4 RDV werden diesen beiden Personengruppen für Auslandreisen auf Gesuch hin eine Be­willigung zur Wiedereinreise und bei erwiesener Schriftenlosigkeit im Sinne von Art. 6 RDV zusätzlich ein Identitätsausweis ausgestellt. 3.2 Als schriftenlos im Sinne der RDV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 4.1 Vorliegend ist demnach vorab zu prüfen, ob die Vorinstanz hinsicht­lich des Beschwerdeführers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 4.2 Die Frage der Zumutbarkeit, mithin diejenige, ob die Beschaffung von Reisedokumenten bei den Heimatbehörden von den betreffenden Per­sonen verlangt werden kann, ist in diesem Zusammenhang nicht nach subjektiven, sondern nach objektiven Massstäben zu beurteilen (vgl. das Urteil des Bundesgerichts 2A.335/2006 vom 18. Oktober 2006 E. 2.1 mit Hinweis). 5.1 Namentlich von schutzbedürftigen und asylsuchenden Personen kann im Hinblick auf eine potentielle Gefährdungslage eine Kontakt­aufnahme mit den zuständigen Behörden des Heimat- oder Her­kunftsstaates nicht verlangt werden (vgl. Art. 6 Abs. 3 RDV). Dasselbe gilt gemäss den diesbezüglichen Weisungen des BFM auch in Bezug auf Personen, welche infolge Unzulässigkeit des Wegweisungsvollzugs (nach Massgabevon Art. 83 Abs. 1 i.V.m. Abs. 3 AuG) vorläufig aufgenommenwurden (vgl. Ziff. 2 der Ausführungsvorschriften zur RDV im Anhang 3/2 zu den Weisungen und Erläuterungen über Einreise, Aufenthalt und Arbeitsmarkt von Mai 2006 [ANAG-Weisungen], online zu finden unter http://www.bfm.admin.ch/content/dam/data/migration/rechtsgrundlagen/weisungen_und_kreisschreiben/weisungen_anag/weisungen_1106_d.pdf). 5.2 Daraus ist zu schliessen, dass von Personen, die - wie der Be­schwerdeführer - wegen Unzumutbarkeit des Wegweisungsvollzugs nach Art. 83 Abs. 1 i.V.m. Abs. 4 AuG vorläufig aufgenommen wurden, eine solche Kontaktaufnahme im Hinblick auf die Beschaffung von Reisedo­kumenten verlangt werden kann. Im Übrigen ist der Beschwerdeführer bereits bei der hiesigen irakischen Ver­tretung vorstellig geworden (vgl. Bestätigungen der irakischen Botschaft vom 12. Juli 2010, 19. Januar 2011 sowie 9. Januar 2012). Er ist daher nicht als schriftenlos im Sinne von Art. 6 Abs. 1 Bst. a RDV zu betrachten. 5.3 Der Beschwerdeführer führt hingegen aus, die irakische Botschaft verweigere die Ausstellung der verlangten Reisedokumente ohne konkrete Angaben von Gründen und handle damit willkürlich. Die Vorinstanz ging vorerst während längerer Zeit davon aus, Personen aus dem Zentral- oder dem Nordirak könnten sich keine gültigen heimatlichen Reisedokumente mehr beschaffen und seien deshalb grundsätzlich als schriftenlos zu betrachten (vgl. Kreisschreiben des Bundesamtes für Flüchtlinge [BFF] zu den Massnahmen im Asylbereich nach Verschärfung der Lage im Irak vom 18. August 2003 [Asyl 52.5.1]). Anfang 2005 ging die irakische Vertretung in der Schweiz in der Folge des Wiederaufbaus der administrativen Strukturen im Irak jedoch wieder dazu über, ihren hierzulande wohnhaften Staatsangehörigen - auf entsprechendes Gesuch hin - heimatliche Reisepässe auszustellen. Nachdem zwischenzeitlich Pässe der (allgemein anerkannten) Serie "G" eingeführt und ausgestellt worden waren, fand auf Anfang des Jahres 2010 erneut eine Umstellung statt: Seither ist nurmehr noch die Ausstellung von Pässen der neu eingeführten Serie "A" vorgesehen; Pässe der Serie "G" können dementsprechend nicht mehr beantragt werden. Dass durch die Einführung der neuen Passserie "A" gewisse technische Verzögerungen entstanden, erscheint nachvollziehbar. Auf der Internetseite der irakischen Vertretung in Deutschland wird denn auch darauf hingewiesen, dass die irakischen Behörden keine Passanträge der Serie "A" mehr entgegen nehmen, bis das neue System zur Passausstellung installiert werde. Der Annahmestopp sei zudem vorübergehend, weshalb alle irakischen Bürger gebeten werden, bis auf Weiteres keine Anträge mehr zu schicken. Sobald das neue System zur Verfügung stehe, würden wieder Termine vereinbart (vgl. http://www.iraqiembassy-berlin.de/docs/de/konsulat7_de.php, besucht im August 2012). Vor diesem Hintergrund sind auch die Hinweise auf den vom Beschwerdeführer eingereichten Bestätigungen der irakischen Botschaft in Bern nachvollziehbar, Anträge könnten aus technischen Gründen bis auf weiteres nicht mehr angenommen werden (vgl. Schreiben vom 12. Juli 2010) bzw. Anträge würden nicht mehr angenommen werden (vgl. Schreiben vom 19. Januar 2011 und 9. Januar 2012). Von einem willkürlichen Handeln der irakischen Behörde kann - entgegen der Ansicht des Beschwerdeführers - somit nicht die Rede sein. Nicht beanstandet werden kann damit auch der Umstand, dass die irakische Botschaft keine zeitlichen Angaben zur Entgegennahme von Anträgen zur Ausstellung eines Reisepapiers gemacht hat (vgl. dazu auch Urteil des Bundesverwaltungsgerichts C-4870/2010 vom 7. April 2011 E. 4.6). 5.4 Im Übrigen ist der Beschwerdeführer darauf hinzuweisen, dass neueren Auskünften der irakischen Botschaft in Bern vom März 2012 zufolge, nun in der Schweiz lebende irakische Staatsangehörige ihre Anträge betreffend Ausstellung eines Passes der Serie "A" persönlich bei der irakischen Botschaft in Paris stellen können. Vorausgesetzt wird, dass die betroffene Person über einen irakischen Personalausweis (Hawitt Al Ahwal Al-Medanie) und die irakische Staatsangehörigkeitsurkunde (Shahadit al-Jensie) verfügt. Mit diesen Dokumenten sowie Passfotos muss vorerst bei der irakischen Botschaft in Bern vorgesprochen werden. Nachdem die Unterlagen dort vorbereitet und bearbeitet wurden, müssen sämtliche Unterlagen persönlich bei der irakischen Botschaft in Paris eingereicht werden, wozu ein Termin zu vereinbaren ist (vgl. dazu auch Urteil des Bundesverwaltungsgerichts C-2830/2011 vom 13. April 2012 E. 4.2). Für die Reise nach Frankreich hat sich der Beschwerdeführer selbst bei der entsprechenden Behörde um ein gültiges Reiseersatzdokument zu bemühen. Dazu müsste er allerdings alle anderen oben erwähnten Vorbedingungen erfüllen, bzw. die notwendigen Vorbereitungsarbeiten bereits erledigt haben. 5.5 Es ist somit nicht davon auszugehen, dem Beschwerdeführer sei die Beschaffung eines gültigen heimatlichen Reisedokuments unmöglich. In diesem Sinn läuft sein Vorbringen ins Leere, die Beantragung eines Passes im Irak sei ebenfalls unmöglich, habe er doch mit Hilfe seines im Irak lebenden Bruders einen offiziellen irakischen Reisepass direkt im Irak beantragt, woraufhin ihm eine Fälschung zugesendet worden sei. Im Übrigen ist aufgrund der Akten nicht nachvollziehbar, wieso der Beschwerdeführer einen gefälschten Reisepass erhalten hat. Aus den Akten ergibt sich behaupteterweise lediglich, dass der Beschwerdeführer seinen im Irak lebenden Bruder mit der Beantragung eines Passes beauftragte. Ob dieser dann überhaupt ein offizielles Gesuch um Ausstellung eines Reisepasses bei der zuständigen irakischen Behörde stellte, ist hingegen nicht ersichtlich. 5.6 Dem Beschwerdeführer ist somit die Beschaffung eines gültigen heimatlichen Reisedokuments zumutbar (Art. 6 Abs. 1 Bst. a RDV); sie ist auch nicht objektiv unmöglich im Sinne von Art. 6 Abs. 1 Bst. b RDV. Der Beschwerdeführer ist folglich nicht als schriftenlos im Sinne von Art. 6 Abs. 1 und 4 RDV zu betrachten.</w:t>
      </w:r>
    </w:p>
    <w:p>
      <w:r>
        <w:rPr>
          <w:b/>
        </w:rPr>
        <w:t>E. 6</w:t>
      </w:r>
    </w:p>
    <w:p>
      <w:r>
        <w:t>Aus diesen Darlegungen folgt, dass die Vorinstanz zu Recht die Schriftenlosigkeit des Beschwerdeführers verneint und die Ausstellung eines Identitätsausweises mit Bewilligung zur Wiedereinreise verweigert hat. Die angefochtene Verfügung erweist sich somit im Lichte von Art. 49 VwVG als rechtmässig und die Beschwerde ist demzufolge abzuweisen.</w:t>
      </w:r>
    </w:p>
    <w:p>
      <w:r>
        <w:rPr>
          <w:b/>
        </w:rPr>
        <w:t>E. 7</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