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C-1823/2013 vom 23. September 2013</w:t>
      </w:r>
    </w:p>
    <w:p>
      <w:r>
        <w:t>Bundesverwaltungsgericht, 2013-09-23, IT</w:t>
      </w:r>
    </w:p>
    <w:p>
      <w:r>
        <w:rPr>
          <w:b/>
        </w:rPr>
        <w:t xml:space="preserve">Quelle: </w:t>
      </w:r>
      <w:r>
        <w:t>https://mcp.opencaselaw.ch/entscheid/bvger_C-1823_2013</w:t>
      </w:r>
    </w:p>
    <w:p>
      <w:r>
        <w:t>FR: TAF C-1823/2013 du 23 septembre 2013</w:t>
      </w:r>
    </w:p>
    <w:p>
      <w:r>
        <w:t>IT: TAF C-1823/2013 del 23 settembre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DTAF 2011/43 consid. 6.1).</w:t>
      </w:r>
    </w:p>
    <w:p>
      <w:r>
        <w:rPr>
          <w:b/>
        </w:rPr>
        <w:t>E. 3</w:t>
      </w:r>
    </w:p>
    <w:p>
      <w:r>
        <w:t>A._______ sostiene che l'UFM non si è minimamente confrontato con le sue dettagliate e circostanziate contestazioni, venendo quindi meno al suo obbligo di motivazione. Il Tribunale deve quindi preliminarmente esaminare tale censura di natura formale.</w:t>
      </w:r>
    </w:p>
    <w:p>
      <w:r>
        <w:rPr>
          <w:b/>
        </w:rPr>
        <w:t>E. 3.1</w:t>
      </w:r>
    </w:p>
    <w:p>
      <w:r>
        <w:t>La giurisprudenza ha dedotto dal diritto di essere sentito, disciplinato dall'art. 29 cpv. 2 della Costituzione federale della Confederazione svizzera del 18 aprile 1999 (Cost., RS 101) e ancorato, per quanto concerne la procedura amministrativa federale all'art. 29 e segg. PA,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rispettato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3.2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consid. 2.6.1 e giurisprudenza ivi citata; sentenza del Tribunale federale 1C_112/2011 del 13 luglio 2011 consid. 2.1.3 e giurisprudenza ivi citata).</w:t>
      </w:r>
    </w:p>
    <w:p>
      <w:r>
        <w:rPr>
          <w:b/>
        </w:rPr>
        <w:t>E. 3.3</w:t>
      </w:r>
    </w:p>
    <w:p>
      <w:r>
        <w:t>Nella fattispecie la motivazione della decisione impugnata risulta succinta e stringata, ciò non ha tuttavia impedito a A._______ di comprenderne la portata e di deferirla all'istanza superiore. Concretamente, il ricorrente è stato in grado di dedurre i fatti su cui la decisione si fonda e le ragioni per cui è stata pronunciata, ed ha potuto difendersi in maniera corretta nell'ambito del ricorso presentato al Tribunale. Infine, anche nella denegata ipotesi in cui la decisione venisse considerata non sufficientemente motivata e unicamente a titolo sussidiario, si rileva che tale carenza sarebbe comunque sanata dall'impugnazione della stessa davanti allo scrivente Tribunale, il quale dispone di piena cognizione. Inoltre in occasione dello scambio degli scritti, l'autorità inferiore ha avuto modo di esprimersi sul contenuto del ricorso e di completarne le motivazioni, successivamente notificate all'interessato, al quale è stato concesso il diritto di replica di cui esso ha fatto uso (cfr. DTF 116 V 28 pag. 39/40 consid. 4b). Visto quanto precede, la censura dell'insorgente, in ordine all'insufficienza della motivazione e quindi alla violazione del suo diritto di essere sentito, risulta infondata.</w:t>
      </w:r>
    </w:p>
    <w:p>
      <w:r>
        <w:rPr>
          <w:b/>
        </w:rPr>
        <w:t>E. 4.1</w:t>
      </w:r>
    </w:p>
    <w:p>
      <w:r>
        <w:t>Il divieto d'entrata in Svizzera è disciplinato all'art. 67 della legge federale sugli stranieri del 16 dicembre 2005 (LStr, RS 142.20).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4.2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2012, art. 67 LStr, cifra 2).</w:t>
      </w:r>
    </w:p>
    <w:p>
      <w:r>
        <w:rPr>
          <w:b/>
        </w:rPr>
        <w:t>E. 5</w:t>
      </w:r>
    </w:p>
    <w:p>
      <w:r>
        <w:t>In concreto il ricorrente è di nazionalità italiana, di conseguenza nella valutazione della presente causa è necessario tenere conto delle disposizioni dell'ALC. La LStr è dunque applicabile alla presente fattispecie solo nella misura in cui l'ALC non contiene disposizioni derogatorie o se la presente legge prevede disposizioni più favorevoli (art. 2 cpv. 2 LStr).</w:t>
      </w:r>
    </w:p>
    <w:p>
      <w:r>
        <w:rPr>
          <w:b/>
        </w:rPr>
        <w:t>E. 5.1</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 2 allegato I ALC in relazione con l'art. 16 § 2 ALC; DTF 136 II 5 consid. 4.1., DTF 131 II 352 consid. 3.1., DTF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6.1</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6.2</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Nella fattispecie, dagli atti di causa si evince che in data 23 maggio 2008, il Tribunale di Milano ha condannato A._______, con le diminuenti del rito del patteggiamento, per violazione delle norme contenute nel testo unico delle diposizioni in materia di intermediazione finanziaria e per ostacolo all'esercizio delle funzioni delle autorità pubbliche di vigilanza (reati commessi dal novembre 2004 al 22 luglio 2005) alla pena di 6 mesi di reclusione (pena poi sostituita a seguito del patteggiamento con una multa di Euro 30'000.-) e alla multa di Euro 20'000.- (cfr. estratto del casellario giudiziale italiano dell'11 dicembre 2012). Inoltre, con sentenza del 22 novembre 2011 la CAC di Lugano ha condannato il ricorrente per appropriazione indebita aggravata, amministrazione infedele aggravata e ripetuta falsità in documenti alla pena di 24 mesi di detenzione, sospesi condizionalmente per un periodo di prova di 2 anni, a valere quale pena parzialmente aggiuntiva alla suddetta sentenza emessa dalle autorità italiane. In Svizzera l'interessato si è pertanto reso colpevole di reati di carattere patrimoniale.</w:t>
      </w:r>
    </w:p>
    <w:p>
      <w:r>
        <w:rPr>
          <w:b/>
        </w:rPr>
        <w:t>E. 7.2</w:t>
      </w:r>
    </w:p>
    <w:p>
      <w:r>
        <w:t>Si sottolinea a titolo generale come, al di là del manifesto interesse pubblico a perseguire atti illeciti come quelli commessi in Svizzera dal ricorrente, questi ultimi non riguardano beni giuridici estremamente sensibili come la vita e l'integrità fisica, né sono legati al commercio di stupefacenti o altri crimini specialmente pericolosi per l'ordine pubblico (cfr. DTF 131 II 352 consid. 4.3.1 e DTF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In queste circostanze, il provvedimento litigioso potrebbe eventualmente apparire giustificato soltanto a fronte di elementi concreti e precisi che permettano di formulare una prognosi negativa sulla condotta dell'interessato (cfr. sentenze del Tribunale federale 2A.397/2004 del 14 aprile 2005 consid. 4 e 2A.410/2004 del 14 aprile 2005 consid. 4).</w:t>
      </w:r>
    </w:p>
    <w:p>
      <w:r>
        <w:rPr>
          <w:b/>
        </w:rPr>
        <w:t>E. 8.1</w:t>
      </w:r>
    </w:p>
    <w:p>
      <w:r>
        <w:t>Occorre dunque esaminare se il comportamento tenuto da A._______ costituisce una minaccia a tutt'oggi attuale. Il ricorrente ha in primo luogo affermato che i reati per i quali è stato condannato non riguardano beni giuridici estremamente sensibili quali la salute e l'integrità fisica e che la condanna inflittagli, resa con rito abbreviato e sospesa condizionalmente dalle autorità penali ticinesi che hanno pertanto riconosciuto una prognosi favorevole, non possa essere qualificata come "pesante". Egli ha poi sottolineato di avere interamente risarcito tutte le parti lese, precisando nel contempo che la sentenza emessa nei suoi confronti dal Tribunale di Milano si riferisce allo stesso complesso di fatti, di modo che egli risulterebbe incensurato fino alla condanna subita in Svizzera. L'interessato ha infine rilevato di avere cessato ogni attività lucrativa e fatto ritorno in Italia, indicando di intrattenere stretti legami affettivi con il figlio C._______ domiciliato in Ticino.</w:t>
      </w:r>
    </w:p>
    <w:p>
      <w:r>
        <w:rPr>
          <w:b/>
        </w:rPr>
        <w:t>E. 8.2</w:t>
      </w:r>
    </w:p>
    <w:p>
      <w:r>
        <w:t>Ora, le allegazioni del ricorrente non permettono di concludere che il rischio di recidiva sia diminuito in maniera determinante. Tra il novembre 2004 ed il luglio 2005, A._______ si è reso colpevole nel suo paese d'origine di violazione delle norme contenute nel testo unico delle disposizioni in materia di intermediazione finanziaria e di ostacolo all'esercizio delle funzioni delle autorità pubbliche di vigilanza, reati che hanno comportato la sua condanna ad una multa di Euro 20'000.- e a 6 mesi di reclusione, poco importa se quest'ultima pena non è stata scontata in quanto sostituita in sede di patteggiamento da una multa di Euro 30'000.-. In Svizzera, nel 2000, nella sua qualità di gerente di patrimoni, egli si è in più occasioni reso protagonista di appropriazione indebita aggravata impiegando indebitamente la somma di Euro 160'000.- affidatagli in gestione, mentre nel periodo novembre 2005 - novembre 2008 di amministrazione infedele aggravata in merito a 24 relazioni bancarie causando un danno globale di Euro 2'187'359.- e di ripetuta falsità in documenti. I fatti perpetrati dal ricorrente devono dunque essere considerati oggettivamente gravi - anche nell'ottica dell'ALC - tenuto conto del particolare rapporto di fiducia che lo legava alle vittime, della reiteratezza dei reati commessi e delle importanti somme di denaro oggetto di reato. Per quanto attiene infine la decisione dell'autorità penale di sospendere condizionalmente la pena occorre rammentare che, in virtù del principio della separazione dei poteri 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delle migliore prognosi di risocializzazione, dall'altro l'autorità amministrativa si prefigge di proteggere la sicurezza e l'ordine pubblico (DTF 129 II 215 consid. 3.2 e giurisprudenza ivi citata). Tenuto conto di ciò, nonché del fatto che A._______ ha recidivato i suoi comportamenti delittuosi durante un ampio periodo, il lasso di tempo piuttosto breve trascorso dalla sua condanna in Svizzera non è tale da permettere al presente Tribunale di scostarsi dalla decisione dell'autorità di prime cure, che considera il ricorrente una minaccia per l'ordine pubblico svizzero.</w:t>
      </w:r>
    </w:p>
    <w:p>
      <w:r>
        <w:rPr>
          <w:b/>
        </w:rPr>
        <w:t>E. 8.3</w:t>
      </w:r>
    </w:p>
    <w:p>
      <w:r>
        <w:t>In conclusione, il Tribunale ritiene legittima l'emanazione del divieto d'entrata quale provvedimento per ragione di ordine e sicurezza pubblici ai sensi dell'art. 5 par. 1 Allegato I ALC. Inoltre non è contestato che l'interessato, alla luce delle condanne subite, possa essere l'oggetto di un divieto d'entrata previsto all'art. 67 LStr. Il diritto interno non gli è comunque più favorevole dell'Accordo (cfr. sentenza del Tribunale amministrativo federale C-4982/2010 consid. 6.4, del 18 maggio 2012).</w:t>
      </w:r>
    </w:p>
    <w:p>
      <w:r>
        <w:rPr>
          <w:b/>
        </w:rPr>
        <w:t>E. 9.1</w:t>
      </w:r>
    </w:p>
    <w:p>
      <w:r>
        <w:t>Essendo la decisione di divieto d'entrata confermata nel suo principio, resta ora da stabilire se la durata della misura di allontanamento adottata dall'UFM, prevista per un periodo di 5 anni, rispetta il principio della proporzionalità.</w:t>
      </w:r>
    </w:p>
    <w:p>
      <w:r>
        <w:rPr>
          <w:b/>
        </w:rPr>
        <w:t>E. 9.2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5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9.3</w:t>
      </w:r>
    </w:p>
    <w:p>
      <w:r>
        <w:t>Dagli atti di causa si evince che i reati commessi da A._______ non riguardano beni giuridici estremamente sensibili, che egli non è mai stato arrestato per i fatti oggetto del procedimento, il quale, su richiesta dell'interessato, si è svolto nella forma della procedura abbreviata. Tenuto conto dell'età del ricorrente (all'epoca della condanna 61 anni, oggi 63), della sua incensuratezza in Svizzera, della collaborazione prestata agli inquirenti e degli accordi transattivi conclusi con tutte le parti danneggiate (cfr. sentenza CAC pag. 14), si giustifica una riduzione della durata del provvedimento amministrativo emanato dall'UFM. Quo alla situazione personale, si constata che il centro degli interessi del ricorrente si trova in Italia, paese in cui ha sempre vissuto (ad eccezione del periodo agosto 1998 - febbraio 2012) e in cui vive attualmente con la moglie. Quanto ai suoi interessi privati, A._______ ha affermato di intrattenere stretti legami affettivi con il figlio C._______, domiciliato in Svizzera. L'insorgente si prevale quindi dell'art. 8 CEDU. Questa disposizione tutela la vita privata e familiare delle persone. Essa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dalla suddetta disposizione sono in particolare i rapporti tra i coniugi, nonché quelli tra i genitori e i figli minorenni che vivono in comunione. Eccezionalmente sono presi in considerazione anche i rapporti tra i genitori e i figli maggiorenni se vi è un particolare rapporto di dipendenza tra loro ( DTF 129 II 11 consid. 2). Nella fattispecie, sebbene A._______ intrattenga con il figlio un forte legame effettivo, non è possibile ritenere l'esistenza, ed egli nemmeno l'allega, delle condizioni eccezionali relative ad un rapporto di dipendenza effettiva e concreta tra loro. Il ricorrente non può quindi prevalersi dell'art. 8 CEDU.</w:t>
      </w:r>
    </w:p>
    <w:p>
      <w:r>
        <w:rPr>
          <w:b/>
        </w:rPr>
        <w:t>E. 10</w:t>
      </w:r>
    </w:p>
    <w:p>
      <w:r>
        <w:t>In conclusione, tenuto conto dell'insieme degli elementi soggettivi ed oggettivi della causa, la ponderazione degli interessi in presenza conduce il Tribunale a ritenere che, sebbene l'interesse pubblico all'allontanamento di A._______ dalla Svizzera prevalga su quello privato di quest'ultimo a potervisi recare senza particolari controlli, la durata del divieto d'entrata deve essere ridotta e gli effetti di tale misura limitati a 3 anni a decorrere dalla pronuncia della stessa, ovvero fino al 3 marzo 2016. Di conseguenza il ricorso è parzialmente accolto e la durata del divieto d'entrata è ridotta a 3 anni.</w:t>
      </w:r>
    </w:p>
    <w:p>
      <w:r>
        <w:rPr>
          <w:b/>
        </w:rPr>
        <w:t>E. 11</w:t>
      </w:r>
    </w:p>
    <w:p>
      <w:r>
        <w:t>Visto l'esito della procedura, vengono poste a carico del ricorrente spese processuali ridotte dell'ammontare di fr. 500.- (art. 63 cpv. 1 PA). Giusta l'art. 64 cpv. 1 PA in relazione con l'art. 7 cpv. 2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mancanza di una nota particolareggiata delle spese di rappresentanza, l'indennità è fissata sulla base degli atti. In concreto si constata che l'interessato è patrocinato da un legale. In ragione dell'insieme delle circostanze della fattispecie, alla luce dell'importanza del caso e del grado di difficoltà, come pure al lavoro svolto dal patrocinatore, il Tribunale ritiene, ai sensi degli art. 8 segg. TS-TAF, che il versamento al ricorrente di un'indennità di fr. 1'000.-, importo comprensivo di spese ma non di IVA, appaia equa. In effetti, per prestazioni di avvocati fornite a persone domiciliate all'estero non è dovuta l'IVA (cfr.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