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C-181/2006 vom 20. Februar 2008</w:t>
      </w:r>
    </w:p>
    <w:p>
      <w:r>
        <w:t>Bundesverwaltungsgericht, 2008-02-20, DE</w:t>
      </w:r>
    </w:p>
    <w:p>
      <w:r>
        <w:rPr>
          <w:b/>
        </w:rPr>
        <w:t xml:space="preserve">Quelle: </w:t>
      </w:r>
      <w:r>
        <w:t>https://mcp.opencaselaw.ch/entscheid/bvger_C-181_2006</w:t>
      </w:r>
    </w:p>
    <w:p>
      <w:r>
        <w:t>FR: TAF C-181/2006 du 20 février 2008</w:t>
      </w:r>
    </w:p>
    <w:p>
      <w:r>
        <w:t>IT: TAF C-181/2006 del 20 febbraio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das mit der Anordnung einer Einreisesperre eine Verfügung im erwähnten Sinne und daher ein zulässiges Anfechtungsobjekt erlassen hat. Eine Ausnahme nach Art. 32 VGG liegt nicht vor. Das Bundesverwaltungsgericht entscheidet endgültig (Art. 83 Bst. c Ziff. 1 des Bundesgerichtsgesetzes vom 17. Juni 2005 [BGG, SR 173.110]).</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und wendet das neue Verfahrensrecht an (Art. 53 Abs. 2 VGG). Das Verfahren vor dem Bundesverwaltungsgericht richtet sich nach dem VwVG, soweit das Gesetz nichts anderes bestimmt (Art. 37 VGG).</w:t>
      </w:r>
    </w:p>
    <w:p>
      <w:r>
        <w:rPr>
          <w:b/>
        </w:rPr>
        <w:t>E. 1.3</w:t>
      </w:r>
    </w:p>
    <w:p>
      <w:r>
        <w:t>Der Beschwerdeführer ist als Adressat der Verfügung vom 18. August 2006 zur Beschwerde legitimiert (Art. 48 Abs. 1 VwVG). Auf die frist- und formgerecht eingereichte Beschwerde ist somit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 des Bundesgerichts 2A.451/2002 vom 28. März 2003, E. 1.2, sowie Urteil des Bundesverwaltungsgerichts C-135/2006 vom 20. Dezember 2007, E. 2 mit weiteren Hinweisen).</w:t>
      </w:r>
    </w:p>
    <w:p>
      <w:r>
        <w:rPr>
          <w:b/>
        </w:rPr>
        <w:t>E. 3.1</w:t>
      </w:r>
    </w:p>
    <w:p>
      <w:r>
        <w:t>Mit dem Inkrafttreten des Bundesgesetzes über die Ausländerinnen und Ausländer (AuG, SR 142.20) am 1. Januar 2008 wurde das ehemalige Bundesgesetz vom 26. März 1931 über Aufenthalt und Niederlassung der Ausländer (aANAG, BS 1 121) abgelöst (vgl. Art. 125 AuG i.V.m. Ziff. I des Anhangs zum AuG). Auf Verfahren, die vor diesem Zeitpunkt eingeleitet wurden, bleibt das bisherige Recht anwendbar (vgl. Art. 126 Abs. 1 AuG sowie Urteil des Bundesverwaltungsgerichts C-3912/2007 vom 14. Februar 2008, E. 2). Die angefochtene Verfügung erging vor dem Inkrafttreten des AuG. Für die materielle Beurteilung der vorliegenden Beschwerde ist daher auf die altrechtliche Regelung, insbesondere auf Art. 13 Abs. 1 aANAG und die einschlägigen Bestimmungen der ebenfalls aufgehobenen Verordnungen (vgl. Art. 91 der Verordnung vom 24. Oktober 2007 über Zulassung, Aufenthalt und Erwerbstätigkeit [VZAE, SR 142.201]), abzustellen.</w:t>
      </w:r>
    </w:p>
    <w:p>
      <w:r>
        <w:rPr>
          <w:b/>
        </w:rPr>
        <w:t>E. 3.2</w:t>
      </w:r>
    </w:p>
    <w:p>
      <w:r>
        <w:t>Die eidgenössische Behörde kann für höchstens drei Jahre eine Einreisesperre über Ausländerinnen und Ausländer verhängen, die sich grobe oder mehrfache Zuwiderhandlungen gegen fremdenpolizeiliche Bestimmungen haben zuschulden kommen lassen. Während der Einreisesperre ist der ausländischen Person jeder Grenzübertritt ohne ausdrückliche Ermächtigung der verfügenden Behörde untersagt (Art. 13 Abs. 1 Sätze 2 und 3 aANAG). Nach ständiger Praxis gelten die Ausübung einer Erwerbstätigkeit ohne Bewilligung, der illegale Aufenthalt und die illegale Einreise als grobe Zuwiderhandlungen im Sinne des Gesetzes, weil sie sich gegen Normen richten, die für das Funktionieren der fremdenpolizeilichen Ordnung von zentraler Bedeutung sind (vgl. Verwaltungspraxis der Bundesbehörden [VPB] 63.38, E. 13, sowie z.B. Urteile des Bundesverwaltungsgerichts C-76/2006 vom 20. Dezember 2007, E. 2, C-121/2006 vom 12. November 2007, E. 2.1, und C-154/2006 vom 29. Oktober 2007, E. 4). Für die Verhängung einer Einreisesperre ist kein vorsätzlicher Verstoss gegen fremdenpolizeiliche Bestimmungen erforderlich. Es genügt, wenn der ausländischen Person eine Sorgfaltspflichtverletzung zugerechnet werden kann. Unkenntnis oder Fehlinterpretation der Einreise- oder Aufenthaltsvorschriften stellt normalerweise keinen hinreichenden Grund für ein Absehen von einer an sich gebotenen Fernhaltemassnahme dar. Jeder Ausländerin und jedem Ausländer obliegt, sich über bestehende Rechte und Pflichten im Zusammenhang mit fremdenpolizeilichen Vorschriften ins Bild zu setzen und sich im Falle von Unklarheiten gegebenenfalls bei den zuständigen Stellen zu informieren (vgl. Urteil des Bundesverwaltungsgerichts C-102/2006 vom 16. November 2007, E. 4.2).</w:t>
      </w:r>
    </w:p>
    <w:p>
      <w:r>
        <w:rPr>
          <w:b/>
        </w:rPr>
        <w:t>E. 3.3</w:t>
      </w:r>
    </w:p>
    <w:p>
      <w:r>
        <w:t>Eine ausländische Person ist zur Anwesenheit in der Schweiz berechtigt, wenn sie eine Aufenthalts- oder Niederlassungsbewilligung besitzt oder keiner solchen bedarf (Art. 1a aANAG). Ohne behördliche Bewilligung dürfen sich Ausländerinnen und Ausländer während der für sie geltenden Anmeldefrist in der Schweiz aufhalten, sofern sie rechtmässig eingereist sind (Art. 1 Abs. 1 der ehemaligen Vollziehungsverordnung vom 1. März 1949 zum aANAG [aANAV, AS 1949 I 228]). Ausländische Personen, die zur Ausübung einer Erwerbstätigkeit in die Schweiz eingereist sind, haben sich innert acht Tagen, auf jeden Fall vor Antritt einer Stelle, bei der Fremdenpolizeibehörde des Aufenthaltsortes zur Regelung der Bedingungen ihrer Anwesenheit anzumelden (Art. 2 Abs. 1 aANAG). Ist die ausländische Person, die zur Ausübung einer Erwerbstätigkeit mit Stellenantritt eingereist ist, im Besitze einer Zusicherung der Aufenthaltsbewilligung zum Stellenantritt, kann sie - sofern nichts anderes verfügt ist - die Stelle sofort nach erfolgter Anmeldung antreten (Art. 6 Abs. 4 aANAV). Ansonsten darf die nicht niedergelassene ausländische Person eine Stelle erst antreten, wenn ihr der Aufenthalt zu diesem Zweck bewilligt wurde (Art. 3 Abs. 3 aANAG). Als Erwerbstätigkeit gilt jede normalerweise auf Erwerb gerichtete unselbstständige oder selbstständige Tätigkeit, selbst wenn sie unentgeltlich ausgeübt wird (Art. 6 Abs. 1 der ehemaligen Verordnung vom 6. Oktober 1986 über die Begrenzung der Zahl der Ausländer [aBVO, AS 1986 1791]). Als Erwerbstätigkeit gelten auch Beschäftigungen, die stunden-, tageweise oder bloss vorübergehend ausgeübt werden (Art. 6 Abs. 2 Bst. c aBVO).</w:t>
      </w:r>
    </w:p>
    <w:p>
      <w:r>
        <w:rPr>
          <w:b/>
        </w:rPr>
        <w:t>E. 4.1</w:t>
      </w:r>
    </w:p>
    <w:p>
      <w:r>
        <w:t>Aus den Akten geht hervor, dass der Beschwerdeführer im Sommer 2006 wiederholt in die Schweiz gereist ist und bei einem hier lebenden Bekannten während mindestens zehn Tagen Umbauarbeiten ausgeführt hat. Als Gegenleistung dafür wurden ihm Essen und Unterkunft gewährt sowie die Reisen von Zagreb nach Basel bezahlt. Zudem versprach ihm sein Bekannter, bei der Gründung einer GmbH in der Schweiz behilflich zu sein. Aufgrund der relativ langen Dauer der Arbeitseinsätze sowie der im Gegenzug dafür ausgerichteten bzw. in Aussicht gestellten Entschädigung sind die "Freundschaftsdienste" des Beschwerdeführers als Erwerbstätigkeit zu qualifizieren, für welche er vorgängig eine Bewilligung hätte einholen müssen. Durch sein Verhalten hat der Beschwerdeführer sodann nicht nur die gesetzlichen Vorschriften betreffend die Aufnahme einer Erwerbstätigkeit in der Schweiz verletzt, sondern zugleich den Tatbestand des illegalen Aufenthalts erfüllt. Gestützt auf Art. 1 des Abkommens vom 13. Mai 1997 zwischen dem Schweizerischen Bundesrat und der Regierung der Republik Kroatien über die gegenseitige Aufhebung der Visumspflicht (SR 0.142.112.911) können kroatische Staatsangehörige zwar visumsfrei in die Schweiz einreisen. Diese Visumsbefreiung gilt indessen gemäss Art. 2 des besagten Abkommens nicht für Personen, die beabsichtigen, hier eine Stelle anzutreten. Schliesslich besteht vorliegend kein Anlass von der Einschätzung des Strafrichters abzuweichen, der das erwähnte Verhalten des Beschwerdeführers nicht als Bagatelle betrachtet hat, sondern ihn mit unangefochten in Rechtskraft erwachsenem Strafbefehl vom 18. August 2006 wegen mehrfachen Arbeitens ohne Bewilligung und mehrfachen rechtswidrigen Aufenthalts zu einer bedingten Gefängnisstrafe von zehn Tagen sowie einer Busse von Fr. 1'000.- verurteilt hat.</w:t>
      </w:r>
    </w:p>
    <w:p>
      <w:r>
        <w:rPr>
          <w:b/>
        </w:rPr>
        <w:t>E. 4.2</w:t>
      </w:r>
    </w:p>
    <w:p>
      <w:r>
        <w:t>Nach dem Gesagten ist der Tatbestand der groben Zuwiderhandlung gegen fremdenpolizeiliche Vorschriften als erfüllt zu betrachten (Art. 13 Abs. 1 Satz 2 aANAG).</w:t>
      </w:r>
    </w:p>
    <w:p>
      <w:r>
        <w:rPr>
          <w:b/>
        </w:rPr>
        <w:t>E. 5.1</w:t>
      </w:r>
    </w:p>
    <w:p>
      <w:r>
        <w:t>Es bleibt somit zu prüfen, ob die angeordnete Einreisesperre als solche sowie deren Dauer verhältnismässig und angemessen sind (Art. 49 Bst. a und c VwVG).</w:t>
      </w:r>
    </w:p>
    <w:p>
      <w:r>
        <w:rPr>
          <w:b/>
        </w:rPr>
        <w:t>E. 5.2</w:t>
      </w:r>
    </w:p>
    <w:p>
      <w:r>
        <w:t>Wie bereits erwähnt wurde, hat der Beschwerdeführer fremdenpolizeiliche Bestimmungen grob verletzt. Das generalpräventiv motivierte öffentliche Interesse, die fremdenpolizeiliche Ordnung durch eine konsequente Massnahmenpraxis gegenüber fehlbaren Ausländerinnen und Ausländern zu schützen, ist gewichtig. Im vorliegenden Fall fällt zudem in spezialpräventiver Hinsicht zu Ungunsten des Beschwerdeführers insbesondere ins Gewicht, dass er am 23. November 2006 in Missachtung der gegen ihn bestehenden Einreisesperre versucht hat, erneut in die Schweiz einzureisen. Damit hat er ein Verhalten an den Tag gelegt, welches befürchten lässt, dass er auch künftig nicht gewillt sein könnte, sich an die hiesigen fremdenpolizeilichen Regeln zu halten. Die auf Replikstufe geltend gemachten privaten Interessen des Beschwerdeführers, wonach er beabsichtige, sich in der Schweiz mit der Gründung einer GmbH eine Existenz aufzubauen und hier zudem viele seiner Freunde und Bekannte leben würden, sind schliesslich nicht weiter substanziiert und vermögen die auf dem Spiel stehenden öffentlichen Interessen nicht aufzuwiegen.</w:t>
      </w:r>
    </w:p>
    <w:p>
      <w:r>
        <w:rPr>
          <w:b/>
        </w:rPr>
        <w:t>E. 5.3</w:t>
      </w:r>
    </w:p>
    <w:p>
      <w:r>
        <w:t>Vor diesem Hintergrund ist die Anordnung der Einreisesperre als solche nicht zu beanstanden und erweist sich deren Dauer von drei Jahren - zumindest seit dem erwähnten Vorfall vom 23. November 2006 - unter Berücksichtigung der Praxis in vergleichbaren Fällen als verhältnismässig und angemessen.</w:t>
      </w:r>
    </w:p>
    <w:p>
      <w:r>
        <w:rPr>
          <w:b/>
        </w:rPr>
        <w:t>E. 6</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7</w:t>
      </w:r>
    </w:p>
    <w:p>
      <w:r>
        <w:t>Bei diesem Ausgang des Verfahrens sind dem Beschwerdeführer die Kosten aufzuerlegen (Art. 63 Abs. 1 VwVG). Diese sind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