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C-1805/2021 vom 8. März 2021</w:t>
      </w:r>
    </w:p>
    <w:p>
      <w:r>
        <w:t>Bundesverwaltungsgericht, 2021-03-08, IT</w:t>
      </w:r>
    </w:p>
    <w:p>
      <w:r>
        <w:rPr>
          <w:b/>
        </w:rPr>
        <w:t xml:space="preserve">Quelle: </w:t>
      </w:r>
      <w:r>
        <w:t>https://mcp.opencaselaw.ch/entscheid/bvger_C-1805_2021_d20210308</w:t>
      </w:r>
    </w:p>
    <w:p>
      <w:r>
        <w:t>FR: TAF C-1805/2021 du 8 mars 2021</w:t>
      </w:r>
    </w:p>
    <w:p>
      <w:r>
        <w:t>IT: TAF C-1805/2021 del 8 marzo 2021</w:t>
      </w:r>
    </w:p>
    <w:p>
      <w:pPr>
        <w:pStyle w:val="Heading2"/>
      </w:pPr>
      <w:r>
        <w:t>Regeste</w:t>
      </w:r>
    </w:p>
    <w:p>
      <w:r>
        <w:t>Revisione della rendita | Assicurazione per l'invalidità; rendita limitata nel tempo (decisione dell'8 marzo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 2. 2.1 Dal profilo temporale, con riserva di disposizioni particolari di diritto transitorio, sono applicabili le disposizioni in vigore al momento della rea- lizzazione dello stato di fatto che deve essere valutato giuridicamente o</w:t>
      </w:r>
    </w:p>
    <w:p>
      <w:r>
        <w:t>C-1805/2021 Pagina 7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seconda domanda di rendita d’invalidità svizzera essendo stata pre- sentata il 23 agosto 2018 (essendo determinante in tale contesto la data di consegna alla posta o all’autorità della seconda domanda di rendita [doc. 99] e non la data riportata a mano dall’insorgente nel formulario “richiesta per adulti” [doc. 100]; v. sentenza del TAF C-4249/2019 del 18 agosto 2021 consid. 7.4), al caso in esame, salvo indicazione contraria, si applicano di principio le disposizioni della 6a revisione della LAI entrate in vigore il 1° gennaio 2012 (cfr. DTF 130 V 1 consid. 3.2 per quanto concerne le dispo- sizioni formali della LPGA immediatamente applicabili con la loro entrata in vigore), così come le ulteriori modifiche entrate in vigore successivamente e fino alla pronuncia della decisione impugnata. 2.3 Il potere cognitivo di questo Tribunale è delimitato dalla data della de- cisione impugnata, in concreto l’8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 zione anteriore alla decisione stessa (DTF 129 V 1 consid. 1.2; 121 V 362 consid. 1b), in altri termini se gli stessi sono strettamente connessi all'og- getto litigioso e se sono suscettibili di influire sull'apprezzamento del giu- 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seconda domanda di rendita d'invalidità svizzera essendo stata presentata il 23 agosto 2018 (essendo determinante in tale contesto la data di consegna alla posta o all'autorità della seconda domanda di rendita [doc. 99] e non la data riportata a mano dall'insorgente nel formulario "richiesta per adulti" [doc. 100]; v. sentenza del TAF C-4249/2019 del 18 agosto 2021 consid. 7.4),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l'8 marzo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 tivo Allegato II che regola il coordinamento dei sistemi di sicurezza sociale. L'allegato II ALC prevede in particolare che le parti contraenti applicano tra di loro, dal 1° aprile 2012, il regolamento (CE) n. 883/2004 del Parlamento</w:t>
      </w:r>
    </w:p>
    <w:p>
      <w:r>
        <w:t>C-1805/2021 Pagina 8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4.1</w:t>
      </w:r>
    </w:p>
    <w:p>
      <w:r>
        <w:t>Secondo l'art. 43 LPGA e l'art. 69 OAI (RS 831.201), l'UAIE esamina le domande concernenti le prestazioni d'invalidità, intraprende d'ufficio i ne- cessari accertamenti e raccoglie le informazioni di cui ha bisogno, in parti- 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w:t>
      </w:r>
    </w:p>
    <w:p>
      <w:r>
        <w:t>Dal momento che è entrata nel merito della seconda domanda di rendita presentata dall’insorgente il 23 agosto 2018, all’autorità inferiore incom- beva, in analogia ad una revisione ai sensi dell’art. 17 LPGA, di esaminare se tra la situazione esistente al momento dell’ultima decisione cresciuta in giudicato che è stata oggetto di un esame materiale del diritto alla rendita, nel caso di specie la decisione del 3 novembre 2014, e la situazione al momento dell’emanazione della decisione impugnata, dell’8 marzo 2021, è intervenuta una significativa modifica del grado d’invalidità (cfr. sentenze del TF 9C_421/2014 del 21 luglio 2014 consid. 3 e 9C_418/2010 del 29 agosto 2011 consid. 4.2 e 4.3; cfr. pure sentenza del TAF C-1967/2021 del 16 novembre 2021 consid. 5).</w:t>
      </w:r>
    </w:p>
    <w:p>
      <w:r>
        <w:t>C-1805/2021 Pagina 9</w:t>
      </w:r>
    </w:p>
    <w:p>
      <w:r>
        <w:rPr>
          <w:b/>
        </w:rPr>
        <w:t>E. 6.1</w:t>
      </w:r>
    </w:p>
    <w:p>
      <w:r>
        <w:t>Secondo l'art. 17 LPGA, se il grado d'invalidità del beneficiario della rendita subisce una notevole modificazione, per il futuro la rendita è au- mentata o ridotta proporzionalmente o soppressa, d'ufficio o su richiesta. Il cpv. 2 della stessa norma prevede che ogni altra prestazione durevole ac- cordata in virtù di una disposizione formalmente passata in giudicato è, d'ufficio o su richiesta, aumentata, diminuita o soppressa se le condizioni che l'hanno giustificata hanno subito una notevole modifica.</w:t>
      </w:r>
    </w:p>
    <w:p>
      <w:r>
        <w:rPr>
          <w:b/>
        </w:rPr>
        <w:t>E. 6.2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6.3</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6.4</w:t>
      </w:r>
    </w:p>
    <w:p>
      <w:r>
        <w:t>Quando l'amministrazione con un'unica decisione attribuisce una ren- 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7.1</w:t>
      </w:r>
    </w:p>
    <w:p>
      <w:r>
        <w:t>Il giudice delle assicurazioni sociali deve esaminare in maniera obiet- tiva tutti i mezzi di prova, indipendentemente dalla loro provenienza, e poi</w:t>
      </w:r>
    </w:p>
    <w:p>
      <w:r>
        <w:t>C-1805/2021 Pagina 10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7.4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w:t>
      </w:r>
    </w:p>
    <w:p>
      <w:r>
        <w:t>C-1805/2021 Pagina 11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 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Nel caso in esame, occorre esaminare se prima della resa della decisione impugnata, l’Ufficio AI del Cantone E._______ avrebbe dovuto procedere ad ulteriori misure istruttorie, segnatamente ordinare ulteriori accertamenti specialistici di carattere multidisciplinare, per potersi determinare con co- gnizione di causa ed il necessario grado della verosimiglianza preponde- rante valido nel diritto delle assicurazioni sociali, sullo stato di salute e sulla residua capacità lavorativa dell’insorgente.</w:t>
      </w:r>
    </w:p>
    <w:p>
      <w:r>
        <w:rPr>
          <w:b/>
        </w:rPr>
        <w:t>E. 9.1</w:t>
      </w:r>
    </w:p>
    <w:p>
      <w:r>
        <w:t>La proposta dell’UAIE d’annullamento della decisione impugnata con rinvio degli atti di causa all’amministrazione affinché la stessa completi l’istruttoria – conformemente alle indicazioni di cui alla presa di posizione dell’Ufficio AI del Cantone E._______ del 25 giugno 2021 e all’annotazione</w:t>
      </w:r>
    </w:p>
    <w:p>
      <w:r>
        <w:t>C-1805/2021 Pagina 12 del medico SMR dott.ssa F._______ del 16 giugno 2021 (peraltro l’insor- gente, nello scritto del 3 agosto 2021, ha segnalato che accoglie la propo- sta dell’autorità inferiore di cui alla risposta al ricorso del 30 giugno 2021) – è giustificata dalla necessità di completare l’accertamento dei fatti giuri- dicamente rilevanti con riferimento allo stato di salute del ricorrente, segna- tamente con una perizia medica pluridisciplinare (comprendente un esame sullo stato di salute cardiologico, reumatologico, psichico e neurologico [esami che non sono stati effettuati nell’ambito della domanda di rendita]), volta a definire compiutamente (lo stato di salute dell’insorgente) e l’evolu- zione della sua abilità lavorativa medico-teorica (rispetto al quadro clinico esistente nel novembre del 2014 [periodo di riferimento; v., sulla questione, il considerando 5 del presente giudizio]).</w:t>
      </w:r>
    </w:p>
    <w:p>
      <w:r>
        <w:rPr>
          <w:b/>
        </w:rPr>
        <w:t>E. 9.1.1</w:t>
      </w:r>
    </w:p>
    <w:p>
      <w:r>
        <w:t>A tal proposito, occorre rilevare che, come rettamente constatato an- che dall’autorità inferiore nella sua risposta al ricorso, l’istruttoria effettuata nell’ambito della procedura di revisione con riferimento allo stato di salute del ricorrente è carente sia dal profilo somatico che da quello psichico.</w:t>
      </w:r>
    </w:p>
    <w:p>
      <w:r>
        <w:rPr>
          <w:b/>
        </w:rPr>
        <w:t>E. 9.1.2.1</w:t>
      </w:r>
    </w:p>
    <w:p>
      <w:r>
        <w:t>Quanto alle indicazioni sullo stato di salute somatico del ricorrente, nel rapporto del 14 febbraio 2014 (doc. 75; rapporto su cui era fondata la decisione dell’UAIE del 3 novembre 2014), il medico SMR – che, a sua volta, si era basato sul rapporto chirurgico del dicembre 2013 e sulle perizie reumatologiche del marzo 2004 e febbraio 2006 (doc. 26, 69 e 294) – aveva posto la diagnosi segnatamente di sindrome lombospondilogena cronica a destra con possibile irritazione radicolare S1, lesione meniscale e condropatia del ginocchio destro (con influsso sulla capacità lavorativa) e di stato dopo sutura del tendine del bicipite a destra ed esiti di due artro- scopie al ginocchio destro (senza influsso sulla capacità lavorativa). Se- condo il medico SMR, il ricorrente presentava un’incapacità al lavoro del 100% dal 27 ottobre 2003 nell’attività di muratore ed un’incapacità al lavoro del 100% dal 27 ottobre 2003, del 55% dal 1° ottobre 2004, del 40% dal 1° gennaio 2005, del 100% dal 17 ottobre 2013 e del 40% dal 16 novembre 2013 in un’attività sostitutiva adeguata.</w:t>
      </w:r>
    </w:p>
    <w:p>
      <w:r>
        <w:rPr>
          <w:b/>
        </w:rPr>
        <w:t>E. 9.1.2.2</w:t>
      </w:r>
    </w:p>
    <w:p>
      <w:r>
        <w:t>Nell’ambito della nuova domanda di rendita, nella perizia interni- stica del 25 aprile 2019 (doc. 314; perizia su cui è basata l’impugnata de- cisione dell’8 marzo 2021), il dott. G._______, specialista in medicina in- terna, ha in particolare indicato che l’insorgente è stato sottoposto, nel 2004, ad un intervento di discectomia L5-S1 e soffre di una lombalgia ria-</w:t>
      </w:r>
    </w:p>
    <w:p>
      <w:r>
        <w:t>C-1805/2021 Pagina 13 cutizzata, da circa 4 anni, con dolore lombare ricorrente e difficoltà a man- tenere le posizioni statiche sia sedute che in piedi. Agli esami radiologici sono rilevabili alterazioni degenerative al rachide (segnatamente, discopa- tia L4-L5, protrusione erniaria L4, discopatia L3-L4). Ora, il dott. G._______ non è uno specialista né in reumatologia né in ortopedia, ma un internista. Non si è pronunciato sull’evoluzione dello stato di salute del ricorrente ri- spetto al quadro clinico esistente nel novembre 2014 (periodo di riferi- mento). Non è dato sapere, in assenza di adeguata motivazione, per quale motivo abbia concluso per l’insorgente ad un’incapacità al lavoro del 50%, dal 15 ottobre 2018, nell’attività abituale di addetto alla clientela presso B._______ – attività che, a suo parere, risulta rispettosa del suo stato di salute, delle sue risorse e dei suoi limiti funzionali – allorquando, nel feb- braio del 2014, un altro medico SMR aveva ritenuto un’incapacità al lavoro del 40% nell’esercizio di un’attività sostitutiva adeguata (doc. 75). Inoltre, nel rapporto dell’8 aprile 2021 (doc. TAF 1), il fisiatra curante del ricorrente fa stato di problematiche di dolore interessanti prevalentemente la regione lombosacrale dal (dicembre) 2018 e conclude che il medesimo, a suo giu- dizio, “non sia più in grado di lavorare, anche tenendo presente un’attività leggera, più del 40% di una normale attività lavorativa”. Un accertamento più approfondito delle affezioni reumatologico-ortopediche appare – come proposto dal medico SMR dott.ssa F._______ nell’annotazione del 16 giu- gno 2021 (doc. TAF 7) – indispensabile. Dal profilo cardiaco, l’insorgente è stato ricoverato nel settembre 2015 per un infarto miocardico trattato con impianto di stent (lettera d’uscita del 7 settembre 2015; doc. 112) e nel maggio 2018 per un (secondo) infarto miocardico e sottoposto ad un inter- vento di rivascolarizzazione (lettera di dimissione ospedaliera del 28 mag- gio 2018; doc. 111). Quand’anche, come indicato dal medico SMR (v. l’an- notazione del 16 giugno 2021; doc. TAF 7), i rapporti ed i referti cardiaci del 28 giugno 2018, del 15 novembre e 3 dicembre 2019 e del 17 giugno 2020 (doc. 148 e 162) riferiscano di un quadro cardiovascolare stabile e concludano ad una normale contrattilità globale, FE 65%, valvole indenni cuore destro normale, prova da sforzo negativa per ischemia inducibile, in assenza di disfunzione diastolica, angina ed aritmie, si giustifica – come poi ritenuto dal medico SMR medesimo (doc. TAF 7) – di sottoporre il caso per valutazione ad un medico cardiologo, visto il tempo trascorso dalla ste- sura dei documenti specialistici presenti agli atti di causa. Per il resto, il rapporto neurologico del 19 agosto 2020 (doc. 174) segnala la presenza di lombalgia cronica, disestesie al deficit sensitivo globale dell’arto inferiore destro, difficoltà alla marcia, episodi di caduta indietro su perdita di equili- brio, senza alterazioni dello stato di coscienza, disturbo quest’ultimo poi confermato nel rapporto di visita neurologica del 3 marzo 2021 (doc. TAF 1), in cui è riferito di “episodi improvvisi nel corso dei quali (il ricorrente) si</w:t>
      </w:r>
    </w:p>
    <w:p>
      <w:r>
        <w:t>C-1805/2021 Pagina 14 sente proiettato all’indietro, fa alcuni passi all’indietro e poi cade, non perde i sensi, ma rimane un po’ confuso” ed indicato che l’esame neurologico evidenzia un certo rallentamento motorio. Stante queste premesse, si giu- stifica di effettuare – come postulato dal medico SMR nell’annotazione del 16 giugno 2021 (doc. TAF 7) – un approfondito e dettagliato esame neuro- logico.</w:t>
      </w:r>
    </w:p>
    <w:p>
      <w:r>
        <w:rPr>
          <w:b/>
        </w:rPr>
        <w:t>E. 9.1.3</w:t>
      </w:r>
    </w:p>
    <w:p>
      <w:r>
        <w:t>Quanto alla valutazione sullo stato di salute psichico dell’insorgente, il medico SMR dott.ssa F._______, nel rapporto del 16 luglio 2020 (doc. 168), aveva certo già ritenuto che l’insorgente sarebbe stato in fase de- pressiva ed avrebbe assunto un farmaco antidepressivo (“… gocce”; v. doc. 163 [fotocopia di una parziale confezione farmaceutica]). Non è però dato sapere per quale motivo la dott.ssa F._______ abbia concluso, perlo- meno implicitamente, che il ricorrente non soffre di alcun disturbo psichico significativo, fermo restando che, secondo la giurisprudenza del Tribunale federale, la capacità (lavorativa) esigibile di una persona che soffre di di- sturbi depressivi anche di grado da leggero a medio deve essere di princi- pio valutata sulla base di una visione d’insieme, nell’ambito di una proce- dura d’accertamento dei fatti strutturata fondata su indicatori atta a stabi- lire, da un lato, i fattori invalidanti e, dall’altro, le risorse della persona (DTF 143 V 418; 143 V 409; 141 V 281; valutazione che non è stata effettuata nell’ambito dell’istruttoria della domanda di rendita d’invalidità svizzera). Ora, nel caso concreto non è stato indicato perché si sarebbe potuto rinun- ciare a tale procedura probatoria strutturata. Basti rilevare che nella perizia internistica del dott. G._______ del 25 aprile 2019 (doc. 314 pag. 983) è indicato che l’insorgente soffre di una sindrome ansiosa depressiva cronica dal 2015 ed è in cura presso uno psichiatra. Ciò premesso, a giusta ra- gione, nella sua annotazione del 16 giugno 2021 (doc. TAF 7), il medico SMR ha poi ritenuto necessario l’espletamento di una perizia pluridiscipli- nare comprendente anche la disciplina della psichiatria.</w:t>
      </w:r>
    </w:p>
    <w:p>
      <w:r>
        <w:rPr>
          <w:b/>
        </w:rPr>
        <w:t>E. 9.1.4</w:t>
      </w:r>
    </w:p>
    <w:p>
      <w:r>
        <w:t>Per il resto, va rilevato che dal 1° giugno 2020, l’insorgente ha (nuo- vamente) cambiato sia la propria attività presso B._______, divenendo ad- detto alla ristorazione (con mansioni di “rilevare le entrate al ristorante per il tracciamento COVID”), sia il proprio grado di occupazione, ridottosi al 40% (doc. 159 e 177), ciò che appare confermare la necessità di più ap- profonditi accertamenti con riferimento ai disturbi di cui il ricorrente soffre.</w:t>
      </w:r>
    </w:p>
    <w:p>
      <w:r>
        <w:rPr>
          <w:b/>
        </w:rPr>
        <w:t>E. 9.2</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w:t>
      </w:r>
    </w:p>
    <w:p>
      <w:r>
        <w:t>C-1805/2021 Pagina 15 senso dell’espletamento di una perizia pluridisciplinare (in cardiologia, reu- matologica, psichiatria e neurologia), come proposto dall’autorità inferiore e dal medico SMR consultato, perizia da effettuarsi in Svizzera, riservato ogni ulteriore esame che l'evoluzione nel tempo dello stato di salute dell’in- sorgente dovesse rendere necessario. In assenza di tale istruttoria com- plementare, non risulta in effetti possibile determinarsi con il necessario grado della verosimiglianza preponderante sullo stato di salute e sulla re- sidua capacità lavorativa del ricorrente. Per conseguenza, non può essere accolta la conclusione del ricorso mediante la quale è chiesto il riconosci- mento di una rendita d’invalidità per un grado d’invalidità non inferiore al 60%, dal momento che l’accertamento dei fatti è, allo stato attuale, inesatto ed incompleto.</w:t>
      </w:r>
    </w:p>
    <w:p>
      <w:r>
        <w:rPr>
          <w:b/>
        </w:rPr>
        <w:t>E. 9.3</w:t>
      </w:r>
    </w:p>
    <w:p>
      <w:r>
        <w:t>Da quanto esposto, discende che il ricorso deve essere parzialmente accolto, la decisione impugnata annullata e gli atti di causa ritornati all'am- ministrazione affinché proceda al completamento dell'istruttoria dal profilo medico nel senso precedentemente indicato. A seconda del risultato di tale complemento istruttorio, l'Ufficio AI dovrà pure pronunciarsi sulla sfruttabi- lità di un'(eventuale) residua capacità lavorativa medico-teorica (se del caso implicando anche il servizio integrazione professionale dell'Ufficio AI), nonché, a seconda del risultato di tale esame, effettuare un confronto dei redditi determinanti sulla base delle possibili attività sostitutive adeguate ritenute.</w:t>
      </w:r>
    </w:p>
    <w:p>
      <w:r>
        <w:rPr>
          <w:b/>
        </w:rPr>
        <w:t>E. 9.4</w:t>
      </w:r>
    </w:p>
    <w:p>
      <w:r>
        <w:t>Per il resto, il ricorrente, reso edotto della possibilità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ritirare il gravame (v. il provvedimento del Tribunale amministrativo federale dell’8 febbraio 2022 [doc. TAF 12]), ha comunicato a questo Tribunale di mantenere il ricorso interposto il 20 aprile 2021.</w:t>
      </w:r>
    </w:p>
    <w:p>
      <w:r>
        <w:rPr>
          <w:b/>
        </w:rPr>
        <w:t>E. 10.1</w:t>
      </w:r>
    </w:p>
    <w:p>
      <w:r>
        <w:t>Visto l'esito della procedura, non sono prelevate delle spese proces- suali (art. 63 PA). La domanda di assistenza giudiziaria, nel senso della dispensa dal versamento delle spese processuali, è pertanto divenuta senza oggetto.</w:t>
      </w:r>
    </w:p>
    <w:p>
      <w:r>
        <w:rPr>
          <w:b/>
        </w:rPr>
        <w:t>E. 10.2</w:t>
      </w:r>
    </w:p>
    <w:p>
      <w:r>
        <w:t>Si giustifica altresì l'attribuzione di un'indennità a titolo di spese ripeti- bili (art. 64 PA in combinazione con gli art. 7 e segg. del regolamento del</w:t>
      </w:r>
    </w:p>
    <w:p>
      <w:r>
        <w:t>C-1805/2021 Pagina 16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 nuto conto del lavoro effettivo ed utile, relativamente contenuto, svolto dal rappresentante del ricorrente. L'indennità per ripetibili è posta a carico dell'UAIE).</w:t>
      </w:r>
    </w:p>
    <w:p>
      <w:r>
        <w:t>(dispositivo alla pagina seguente)</w:t>
      </w:r>
    </w:p>
    <w:p>
      <w:r>
        <w:t>C-1805/2021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