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C-1804/2013 vom 30. September 2014</w:t>
      </w:r>
    </w:p>
    <w:p>
      <w:r>
        <w:t>Bundesverwaltungsgericht, 2014-09-30, DE</w:t>
      </w:r>
    </w:p>
    <w:p>
      <w:r>
        <w:rPr>
          <w:b/>
        </w:rPr>
        <w:t xml:space="preserve">Quelle: </w:t>
      </w:r>
      <w:r>
        <w:t>https://mcp.opencaselaw.ch/entscheid/bvger_C-1804_2013</w:t>
      </w:r>
    </w:p>
    <w:p>
      <w:r>
        <w:t>FR: TAF C-1804/2013 du 30 septembre 2014</w:t>
      </w:r>
    </w:p>
    <w:p>
      <w:r>
        <w:t>IT: TAF C-1804/2013 del 30 settembre 2014</w:t>
      </w:r>
    </w:p>
    <w:p>
      <w:pPr>
        <w:pStyle w:val="Heading2"/>
      </w:pPr>
      <w:r>
        <w:t>Regeste</w:t>
      </w:r>
    </w:p>
    <w:p>
      <w:r>
        <w:t>Freiwillige Versicherung</w:t>
      </w:r>
    </w:p>
    <w:p>
      <w:pPr>
        <w:pStyle w:val="Heading2"/>
      </w:pPr>
      <w:r>
        <w:t>Erwägungen</w:t>
      </w:r>
    </w:p>
    <w:p>
      <w:r>
        <w:rPr>
          <w:b/>
        </w:rPr>
        <w:t>E. 1</w:t>
      </w:r>
    </w:p>
    <w:p>
      <w:r>
        <w:t>Anfechtungsobjekt ist vorliegend der Einspracheentscheid der SAK vom 19. Februar 2013, mit welchem der am 15. Januar 2013 verfügte Ausschluss der Beschwerdeführerin aus der freiwilligen Versicherung bestätigt wurde.</w:t>
      </w:r>
    </w:p>
    <w:p>
      <w:r>
        <w:rPr>
          <w:b/>
        </w:rPr>
        <w:t>E. 1.1</w:t>
      </w:r>
    </w:p>
    <w:p>
      <w:r>
        <w:t>Gemäss Art. 31 i.V.m. Art. 33 Bst. d VGG und Art. 85bis Abs. 1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(vgl. Art. 60 Abs. 1 ATSG und Art. 52 Abs. 1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19. Februar 2013)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ist deshalb das per 1. Januar 2003 in Kraft getretene ATSG sowie das AHVG, die AHVV (SR 831.101) sowie die Verordnung vom 26. Mai 1961 über die freiwillige Alters-, Hinterlassenen- und Invalidenversicherung (VFV, SR 831.111) anwendbar. Massgebend sind jeweils die im Zeitpunkt des Einspracheentscheides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w:t>
      </w:r>
    </w:p>
    <w:p>
      <w:r>
        <w:t>Vorliegend ist streitig und zu prüfen, ob die Vorinstanz die Beschwerdeführerin zu Recht aus der freiwilligen Versicherung ausgeschlossen hat.</w:t>
      </w:r>
    </w:p>
    <w:p>
      <w:r>
        <w:rPr>
          <w:b/>
        </w:rPr>
        <w:t>E. 3.1.1</w:t>
      </w:r>
    </w:p>
    <w:p>
      <w:r>
        <w:t>Art. 2 Abs. 1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3.1.3</w:t>
      </w:r>
    </w:p>
    <w:p>
      <w:r>
        <w:t>Nach Art. 13a Abs. 2 VFV sind auch nichterwerbstätige Versicherte beitragspflichtig, und zwar ab dem 1. Januar nach Vollendung des 20. Altersjahres; die Beitragspflicht endet am Ende des Monats, in welchem Frauen das 64. und Männer das 65. Altersjahr vollenden. Nichterwerbstätige Versicherte bezahlen einen Beitrag auf der Grundlage ihres Vermögens und ihres Renteneinkommens (Art. 13b Abs. 2 Satz 1 VFV). Laut Art. 3 Abs. 3 Bst. a AHVG gelten bei nichterwerbstätigen Versicherten die eigenen Beiträge aber als bezahlt, sofern der ebenfalls versicherte Ehegatte Beiträge von mindestens der doppelten Höhe des Mindestbeitrages bezahlt hat (vgl. auch Rz. 4003 der Wegleitung des Bundesamtes für Sozialversicherungen zur freiwilligen Alters-, Hinterlassen- und Invalidenversicherung, gültig ab 1. Januar 2008, Stand: 1. Januar 2013 [WFV]). Personen, deren erwerbstätige Ehegattin oder deren erwerbstätiger Ehegatte versichert ist, sind beitragspflichtig, sobald sie eine Erwerbstätigkeit ausüben oder mit Beginn des Jahres, in welchem die Ehegattin oder der Ehegatte weniger als den doppelten Mindestbeitrag entrichtet hat (Rz. 4006 WFV).</w:t>
      </w:r>
    </w:p>
    <w:p>
      <w:r>
        <w:rPr>
          <w:b/>
        </w:rPr>
        <w:t>E. 3.1.4</w:t>
      </w:r>
    </w:p>
    <w:p>
      <w:r>
        <w:t>Die Grundlagen der Beitragsberechnung für die freiwillige Versicherung sind in Art. 14 VFV geregelt. Nach dessen Abs. 1 werden die Beiträge in Schweizer Franken für jedes Beitragsjahr festgesetzt, wobei als Beitragsjahr das Kalenderjahr gilt. Gemäss Abs. 2 von Art. 14 VFV sowie Rz. 4035 WFV ist bei nichterwerbstätigen Versicherten, welche nicht den Mindestbeitrag schulden oder nicht von der Beitragspflicht befreit sind, das im Beitragsjahr tatsächlich erzielte Reineinkommen und der Vermögensstand am 31. Dezember massgebend.</w:t>
      </w:r>
    </w:p>
    <w:p>
      <w:r>
        <w:rPr>
          <w:b/>
        </w:rPr>
        <w:t>E. 3.1.5</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Gemäss Rz. 4036-4038 und 4041-4042 WFV sind Einkommen und Vermögen der Versicherten von der Ausgleichskasse nämlich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sie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 und nötigenfalls eine amtliche Einschätzung vornehmen.</w:t>
      </w:r>
    </w:p>
    <w:p>
      <w:r>
        <w:rPr>
          <w:b/>
        </w:rPr>
        <w:t>E. 3.1.6</w:t>
      </w:r>
    </w:p>
    <w:p>
      <w:r>
        <w:t>Macht die versicherte Person die nötigen Angaben zur Beitragsfestsetzung nicht fristgemäss, so ist innert zweier Monate schriftlich unter Ansetzung einer Nachfrist von 30 Tagen zu mahnen (Art. 17 Abs. 1 VFV; Rz. 3014,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Allgemeines Verwaltungsrecht, 6. Aufl. 2010, Rz. 581 ff.).</w:t>
      </w:r>
    </w:p>
    <w:p>
      <w:r>
        <w:rPr>
          <w:b/>
        </w:rPr>
        <w:t>E. 3.1.7</w:t>
      </w:r>
    </w:p>
    <w:p>
      <w:r>
        <w:t>Art. 2 Abs. 3 AHVG bestimmt, dass Versicherte, welche die nötigen Auskünfte nicht erteilen, aus der freiwilligen Versicherung ausgeschlossen werden. Art. 13 VFV regelt in Abs. 1 Bst. c, dass Versicherte aus der freiwilligen Versicherung ausgeschlossen werden, wenn sie der Ausgleichskasse die verlangten Belege nicht bis zum 31. Dezember des Jahres einreichen, das auf das Beitragsjahr folgt.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Dokumente nicht beigebracht wurden.</w:t>
      </w:r>
    </w:p>
    <w:p>
      <w:r>
        <w:rPr>
          <w:b/>
        </w:rPr>
        <w:t>E. 3.1.8</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3.2.1</w:t>
      </w:r>
    </w:p>
    <w:p>
      <w:r>
        <w:t>Vorliegend wurde die Beschwerdeführerin am 15. Januar 2013 aus der freiwilligen Versicherung ausgeschlossen, weil sie laut Vorinstanz das Formular "Erklärung über Einkommen und Vermögen" samt den nötigen Belegen für die Periode 2011 nicht fristgemäss eingereicht hatte (SAK-act. 26). Mit den aktenkundigen Schreiben vom 6. März 2012 (SAK-act. 24) und 8. Mai 2012 (SAK-act. 25) wurde die Beschwerdeführerin von der Vorinstanz hinsichtlich der Einreichung des Formulars gemahnt. Mit der zweiten (gemäss Akten eingeschrieben verschickten) Mahnung wurde ihr eine letzte Einreichungsfrist von 30 Tagen gewährt und gleichzeitig - unter Beilage der massgeblichen Gesetzesbestimmungen - der Versicherungsausschluss angedroht. Ein Zustellnachweis betreffend die beiden Mahnschreiben lässt sich in den Akten zwar nicht finden. Der entsprechende Empfang wird seitens der Beschwerdeführerin aber bestätigt (vgl. BVGer-act. 1, 7). Der Ehemann der Beschwerdeführerin räumte in der Einsprache ausserdem ein, dass er vergessen habe, das besagte Formular abzuschicken (SAK-act. 27/2). Diese Darstellung änderte er allerdings im Beschwerdeverfahren zu seinen Gunsten: Er macht nun geltend, bereits Ende Februar 2012 die von der Beschwerdeführerin unterzeichnete Erklärung 2011 nach Genf gesandt (BVGer-act. 1 S. 2) bzw. die entsprechenden Taxationsunterlagen eingereicht zu haben, allerdings nicht per Einschreiben (BVGer-act. 7 S. 1). Der Beschwerdeschrift wurde eine Kopie der ausgefüllten und am 25. Februar 2012 von der Beschwerdeführerin unterzeichneten Einkommenserklärung 2011 beigelegt (BVGer-act. 1/1). Die Vorinstanz bestreitet den Erhalt der besagten Originaldokumente (vgl. BVGer-act. 4) und in den vorliegenden Akten ist ein solcher Eingang nicht belegt. Hinsichtlich der Zustellung der angeblich uneingeschrieben verschickten Dokumente ist jedoch die Beschwerdeführerin beweisbelastet, weshalb sie die Folgen der diesbezüglichen Beweislosigkeit zu tragen hat (vgl. Ueli Kieser, ATSG-Kommentar, 2. Aufl. 2009, Art. 39 Rz. 5). Demnach ist davon auszugehen, dass die von der Vorinstanz bei der Beschwerdeführerin einverlangten Angaben und Belege für die Periode 2011 nicht fristgemäss eingereicht wurden. Persönliche Gründe finanzieller und gesundheitlicher Natur, wie sie vom Ehemann der Beschwerdeführerin geltend gemacht werden, vermögen daran nichts zu ändern (vgl. Art. 13 Abs. 4 VFV sowie Urteil des BVGer C-2913/2006 vom 1. November 2007 E. 3.3). Ebenso wenig können sich die Beschwerdeführerin und ihr Ehemann auf die Bezahlung von dessen AHV/IV-Beiträge im November 2012 berufen. Beiden musste bereits aufgrund von früheren vorinstanzlichen Mahnungen betreffend die Einreichung der Erklärungen über Einkommen und Vermögen (vgl. z.B. SAK-act. 15, 16, 21) klar sein, dass die Beschwerdeführerin für jedes Beitragsjahr die nötigen Angaben zur Beitragsfestsetzung fristgemäss zu liefern hat.</w:t>
      </w:r>
    </w:p>
    <w:p>
      <w:r>
        <w:rPr>
          <w:b/>
        </w:rPr>
        <w:t>E. 3.2.2</w:t>
      </w:r>
    </w:p>
    <w:p>
      <w:r>
        <w:t>Den Akten ist sodann zu entnehmen, dass die Vorinstanz mit formeller Beitragsverfügung vom 24. Juni 2009 (SAK-act. 12) für das Jahr 2007 (1. April bis 31. Dezember) zu Lasten der Beschwerdeführerin einen AHV/IV-Beitrag von Fr. 667.45 festgelegt hat. Auch für die Jahre 2008 und 2009 finden sich in den Akten Beitragsverfügungen der Vorinstanz, wonach die Beschwerdeführerin AHV/IV-Beiträge von Fr. 889.90 (SAK-act. 13) bzw. Fr. 918.75 (SAK-act. 17) schuldet. Für das Jahr 2010 wurde die Beschwerdeführerin indessen von der Beitragspflicht befreit, weil die Beiträge ihres Ehemannes ausreichend waren (SAK-act. 22). Aus den aktenkundigen Kontoauszügen ergibt sich, dass die Beschwerdeführerin tatsächlich Zahlungen an die Vorinstanz geleistet hat (SAK-act. 13/3, 17/3, 18/2). Per Ende August 2010 war zwar noch ein Betrag der Fr. 918.75 ausstehend (SAK-act. 18/2), wofür die Beschwerdeführerin mit vorinstanzlichem Schreiben vom 30. August 2010 gemahnt wurde (SAK-act. 18/1). Dies ändert jedoch nichts an der Tatsache, dass die Beschwerdeführerin vorgängig Versicherungsbeiträge bezahlt hat. Nicht massgeblich ist daher auch der Umstand, dass die Beschwerdeführerin gemäss Akten mindestens für das Jahr 2010 von der Beitragspflicht befreit war und deshalb für diese Periode keine Beiträge geleistet hat (vgl. dazu auch die Urteile des BVGer C-2966/2007 vom 25. Februar 2010 E. 3.1, 3.3 sowie C-2049/2012 vom 9. Juli 2013). Aus dem Gesagten folgt, dass die Beschwerdeführerin im Sinne von Art. 17 Abs. 1 VFV Beiträge in die freiwillige Versicherung entrichtet hat. Die Vorinstanz kann demzufolge gestützt auf die von ihr geltend gemachte ungenügende Erfüllung der Deklarations- und Dokumentationspflichten nicht den Ausschluss der Beschwerdeführerin aus der freiwilligen Versicherung verfügen.</w:t>
      </w:r>
    </w:p>
    <w:p>
      <w:r>
        <w:rPr>
          <w:b/>
        </w:rPr>
        <w:t>E. 3.2.3</w:t>
      </w:r>
    </w:p>
    <w:p>
      <w:r>
        <w:t>Seitens der Beschwerdeführerin wird schliesslich die in der Vernehmlassung (BVGer-act. 4 S. 1) erwähnte Beendigung des Versicherungsverhältnisses per 31. März 2012 angezweifelt (BVGer-act. 7 S. 2). Diese Frage bildet nicht Gegenstand der angefochtenen Verfügung (vgl. SAK-act. 31) und wäre deshalb grundsätzlich nicht zu prüfen und beurteilen (vgl. Kieser, a.a.O., Art. 61 Rz. 56). Da diese Frage aber mit dem vorliegenden Streitgegenstand zusammenhängt und sich beide Parteien dazu geäussert haben, ist an dieser Stelle Folgendes festzuhalten: Die im AHVG enthaltenen Schlussbestimmungen zur Änderung vom 17. Dezember 2004 in Abs. 1 sehen u.a. vor, dass Personen, die in der Tschechischen Republik leben und bei Inkrafttreten des Protokolls vom 26. Oktober 2004 über die Ausdehnung des Freizügigkeitsabkommens auf die neuen EG-Mitgliedstaaten (AS 2006 995) der freiwilligen Versicherung angehören, ihr ab dem Zeitpunkt des Inkrafttretens dieses Protokolls während höchstens sechs aufeinander folgender Jahre weiterhin angeschlossen bleiben können. Einzig Personen, die bei Inkrafttreten dieser Änderung das 50. Altersjahr bereits vollendet haben, können gemäss dieser Bestimmung die Versicherung bis zu ihrem Eintritt in das ordentliche Rentenalter weiterführen. Das besagte Protokoll trat am 1. April 2006 in Kraft, weshalb die freiwillige Versicherung für in der Tschechischen Republik lebende Schweizer Staatsangehörige am 31. März 2012 endete, sofern sie am 1. April 2006 - wie die Beschwerdeführerin und ihr Ehemann - das 50. Altersjahr noch nicht vollendet hatten. Die entsprechende Information seitens der Vorinstanz erfolgte laut deren Aussagen und gemäss Akten einerseits im März 2013 in genereller Weise durch Publikation eines entsprechenden Newsletters auf ihrer Webseite (BVGer-act. 9/1) sowie in konkreter Form mit der Vernehmlassung vom 18. Juni 2013 (BVGer-act. 4). Auch wenn diese vorinstanzlichen Auskünfte erst nach dem 31. März 2012 erteilt wurden, kann die Beschwerdeführerin daraus nichts zu ihren Gunsten ableiten, zumal ein dadurch entstandener Rechtsnachteil weder geltend gemacht noch ersichtlich ist (vgl. dazu BGE 131 V 472 E. 5).</w:t>
      </w:r>
    </w:p>
    <w:p>
      <w:r>
        <w:rPr>
          <w:b/>
        </w:rPr>
        <w:t>E. 3.2.4</w:t>
      </w:r>
    </w:p>
    <w:p>
      <w:r>
        <w:t>Zusammenfassend ist damit festzuhalten, dass der am 15. Januar 2013 verfügte Ausschluss der Beschwerdeführerin aus der freiwilligen Versicherung unzulässig war und dessen Bestätigung im Einspracheentscheid vom 19. Februar 2013 folglich nicht rechtens ist. Die vorliegende Beschwerde ist daher gutzuheissen und die Ausschlussverfügung vom 15. Januar 2013 sowie der angefochtene Einspracheentscheid vom 19. Februar 2013 sind aufzuheben. Die Beschwerdeführerin blieb daher vom 1. Januar 2011 bis 31. März 2012 der freiwilligen Versicherung angeschlossen und die Vorinstanz hat die geschuldeten Beiträge mittels Veranlagungsverfügung festzulegen.</w:t>
      </w:r>
    </w:p>
    <w:p>
      <w:r>
        <w:rPr>
          <w:b/>
        </w:rPr>
        <w:t>E. 4</w:t>
      </w:r>
    </w:p>
    <w:p>
      <w:r>
        <w:t>Zu befinden bleibt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hohen Kosten entstanden sind, wird ihr keine Parteientschädigung zugesprochen. Als Bundesbehörde hat die unterliegende Vorinstanz keinen Anspruch auf Parteientschädigung (Art. 7 Abs. 3 VGKE).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