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C-1800/2010 vom 19. Oktober 2011</w:t>
      </w:r>
    </w:p>
    <w:p>
      <w:r>
        <w:t>Bundesverwaltungsgericht, 2011-10-19, IT</w:t>
      </w:r>
    </w:p>
    <w:p>
      <w:r>
        <w:rPr>
          <w:b/>
        </w:rPr>
        <w:t xml:space="preserve">Quelle: </w:t>
      </w:r>
      <w:r>
        <w:t>https://mcp.opencaselaw.ch/entscheid/bvger_C-1800_2010</w:t>
      </w:r>
    </w:p>
    <w:p>
      <w:r>
        <w:t>FR: TAF C-1800/2010 du 19 octobre 2011</w:t>
      </w:r>
    </w:p>
    <w:p>
      <w:r>
        <w:t>IT: TAF C-1800/2010 del 19 ottobre 2011</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sospensione di un divieto d'entrata in Svizzera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cpv. 1 dell' Accordo del 21 giugno 1999 tra la Confederazione Svizzera, da una parte, e la Comunità europea ed i suoi Stati membri, dall'altra, sulla libera circolazione delle persone [ALC, RS 0.142.112.681]).</w:t>
      </w:r>
    </w:p>
    <w:p>
      <w:r>
        <w:rPr>
          <w:b/>
        </w:rPr>
        <w:t>E. 1.3</w:t>
      </w:r>
    </w:p>
    <w:p>
      <w:r>
        <w:t>Salvo i casi in cui la LTAF non disponga altrimenti, la procedura davanti al Tribunale amministrativo federale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sentenza A-2682/2007 del Tribunale amministrativo federale del 7 ottobre 2010 consid. 1.2 e 1.3).</w:t>
      </w:r>
    </w:p>
    <w:p>
      <w:r>
        <w:rPr>
          <w:b/>
        </w:rPr>
        <w:t>E. 3.1</w:t>
      </w:r>
    </w:p>
    <w:p>
      <w:r>
        <w:t>Conformemente all'attuale art. 67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L'autorità cui compete la decisione può, per motivi umanitari o altri motivi gravi, rinunciare a pronunciare un divieto d'entrata oppure sospenderlo definitivamente o temporaneamente (art. 67 cpv. 5 LStr).</w:t>
      </w:r>
    </w:p>
    <w:p>
      <w:r>
        <w:rPr>
          <w:b/>
        </w:rPr>
        <w:t>E. 3.2</w:t>
      </w:r>
    </w:p>
    <w:p>
      <w:r>
        <w:t>Tale disposizione è entrata in vigore nel suo tenore attuale il 1° gennaio 2011. La modifica si fonda sull'art. 2 n. 1 del Decreto federale che approva e traspone nel diritto svizzero lo scambio di note tra la Svizzera e la CE concernente il recepimento della direttiva CE sul rimpatrio (direttiva 2008/115/CE) (Sviluppo dell'acquis di Schengen) del 18 giugno 2010 (RU 2010 5925).</w:t>
      </w:r>
    </w:p>
    <w:p>
      <w:r>
        <w:rPr>
          <w:b/>
        </w:rPr>
        <w:t>E. 3.3</w:t>
      </w:r>
    </w:p>
    <w:p>
      <w:r>
        <w:t>Il cpv. 5 dell'art. 67 LStr è stato introdotto in riferimento all'art. 11 § 3 della direttiva 2008/115/CE. Questa disposizione prevede una clausola d'eccezione generale che consente agli Stati membri di astenersi, per motivi umanitari o di altra natura, dal pronunciare un divieto d'entrata oppure di revocare o sospendere un siffatto divieto. Ciò è possibile unicamente in casi eccezionali. La formulazione aperta del disegno di legge comprende le fattispecie che secondo la direttiva sul rimpatrio giustificano la rinuncia ad emettere un divieto d'entrata oppure la revoca o sospensione dello stesso (cfr. Messaggio concernente l'approvazione e la trasposizione dello scambio di note tra la Svizzera e la CE relativo al recepimento della direttiva della CE sul rimpatrio [direttiva 2008/115/CE] [Sviluppo dell'acquis di Schengen] e concernente una modifica della legge federale sugli stranieri [Controllo di confine automatizzato, consulenti in materia di documenti, sistema d'informazione MIDES] del 18 novembre 2009; FF 2009 7737, in particolare 7752). Si tratta segnatamente delle vittime e dei testimoni della tratta di esseri umani, per i quali la LStr prevede delle speciali disposizioni, in particolare l'art. 30 cpv. 1 lett. e LStr e gli art. 35 e 36 dell'ordinanza sull'ammissione, il soggiorno e l'attività lucrativa (OASA, RS 142.201).</w:t>
      </w:r>
    </w:p>
    <w:p>
      <w:r>
        <w:rPr>
          <w:b/>
        </w:rPr>
        <w:t>E. 3.4</w:t>
      </w:r>
    </w:p>
    <w:p>
      <w:r>
        <w:t>La predetta modifica di legge non ha previsto alcuna disposizione transitoria inerente all'introduzione del nuovo art. 67 LStr. Occorre dunque esaminare se l'applicazione della nuova norma agli elementi di fatto presi in considerazione dall'UFM, ponga un problema di retroattività illecita. Se il nuovo diritto deve essere applicato ad una fattispecie, verificatasi prima della sua entrata in vigore, ma che esplica a tutt'oggi i suoi effetti, l'applicazione della nuova legge, riservato il principio della buona fede, è in linea generale ammissibile (cfr. Ulrich Häfelin / Georg Müller / Felix Uhlmann, Allgemeines Verwaltungsrecht, 6a ed. integralmente rielaborata, Zurigo/San Gallo 2010, cifra 337 segg. e anche sentenza del TAF C-2482/2009 del 28 gennaio 2010, consid. 6.2, pag. 10 e DTAF 2009/3 consid. 3.2, pag. 29 seg.). Nella specie, la decisione avversata è stata emanata in applicazione dell'art. 67 cpv. 4 LStr nel suo tenore fino al 31 dicembre 2010 (RU 2007 5437). Tale disposizione prevedeva la possibilità, per motivi gravi, di sospendere temporaneamente il divieto d'entrata. Secondo il tenore dell'attuale disposizione la competente autorità non solo può pronunciare decisioni di sospensione provvisorie, ma anche definitive, se giustificate da ragioni umanitarie o altri motivi importanti. In questi termini, tenuto conto della formulazione più favorevole, l'applicazione del nuovo diritto a questi elementi di fatto non pone alcun problema di retroattività.</w:t>
      </w:r>
    </w:p>
    <w:p>
      <w:r>
        <w:rPr>
          <w:b/>
        </w:rPr>
        <w:t>E. 4.1</w:t>
      </w:r>
    </w:p>
    <w:p>
      <w:r>
        <w:t>Il ricorrente è di nazionalità italiana, di conseguenza nella valutazione della presente causa è necessario tenere conto delle disposizioni dell'ALC. La LStr è applicabile solo se l'Accordo non contiene disposizioni derogatorie o se prevede disposizioni più favorevoli (cfr. art. 2 cpv. 2 LStr).</w:t>
      </w:r>
    </w:p>
    <w:p>
      <w:r>
        <w:rPr>
          <w:b/>
        </w:rPr>
        <w:t>E. 4.2</w:t>
      </w:r>
    </w:p>
    <w:p>
      <w:r>
        <w:t>Giusta l'art. 1 §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Come l'insieme delle prerogative conferite dall'Accordo, questo diritto può essere limitato soltanto da misure giustificate da motivi di ordine pubblico, pubblica sicurezza e pubblica sanità, ai sensi dell'art. 5 § 1 Allegato I ALC. Queste nozioni devono essere definite ed interpretate alla luce della direttiva 64/221/CEE e della giurisprudenza della Corte di giustizia delle Comunità europee (CGCE) anteriore alla firma dell'ALC (art. 5 § 2 allegato I ALC in relazione con l'art. 16 § 2 ALC; DTF 136 II 5 consid. 4.1., DTF 131 II 352 consid. 3.1., DTF 130 II 1 consid. 3.6.1.).</w:t>
      </w:r>
    </w:p>
    <w:p>
      <w:r>
        <w:rPr>
          <w:b/>
        </w:rPr>
        <w:t>E. 4.3</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w:t>
      </w:r>
    </w:p>
    <w:p>
      <w:r>
        <w:rPr>
          <w:b/>
        </w:rPr>
        <w:t>E. 4.4</w:t>
      </w:r>
    </w:p>
    <w:p>
      <w:r>
        <w:t>I provvedimenti di ordine pubblico o di pubblica sicurezza devono inoltre essere adottati esclusivamente in relazione al comportamento personale dell'individuo nei riguardi del quale essi sono applicati (art. 3 par. 1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pag. 184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131 II 352 consid. 3.2, DTF 130 II 176 consid. 3.4.1, cfr. anche la sentenza del Tribunale federale 2C_664/2009 precitata consid. 4.1 e le sentenze CGCE ivi citate).</w:t>
      </w:r>
    </w:p>
    <w:p>
      <w:r>
        <w:rPr>
          <w:b/>
        </w:rPr>
        <w:t>E. 4.5</w:t>
      </w:r>
    </w:p>
    <w:p>
      <w:r>
        <w:t>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 Inoltre,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5.1</w:t>
      </w:r>
    </w:p>
    <w:p>
      <w:r>
        <w:t>Dalle risultanze agli atti emerge che l'interessato è stato condannato con decreto di accusa del 10 febbraio 1997 alla pena di 3 mesi di detenzione sospesi condizionalmente per un periodo di prova di 2 anni, per furto, abuso ripetuto di un impianto per l'elaborazione di dati, reato consumato e in parte tentato, avendo trasferito a danno di altri un importo complessivo di fr. 3'250.40, rispettivamente per aver tentato di influire su un siffatto processo elettronico al fine di ottenere un trasferimento di complessivi fr. 6'830.--, per ripetuta truffa consumata e tentata e ripetuta falsità in documenti; con sentenza dell'11 gennaio 1999, in correità con una terza persona l'interessato è stato condannato a 3 anni di reclusione a valere parzialmente quale pena addizionale a quella di 3 mesi di detenzione della pena precedente a cui è stata tolta la sospensione condizionale, per infrazione aggravata alla LStup, segnatamente per vendita di 220 grammi di cocaina, partecipazione all'acquisto a credito e all'importazione nonché trasporto di 810 grammi di cocaina destinati alla vendita, dei quali ne vendette personalmente 210 grammi, consegnandone a terzi 350 grammi, per preparativi, in qualità di intermediario, nel procurare a terzi 20 kilogrammi di cocaina, per, previo acquisto, venduto 100 grammi di cocaina, per previo acquisto venduto circa 15 kg di haschisch e per contravvenzione alla LStup avendo ripetutamente consumato haschisch e occasionalmente cocaina; con decreto di accusa del 9 dicembre 2003 l'interessato è stato condannato per appropriazione indebita e per denuncia mendace alla pena di 3 mesi di detenzione, da espiare siccome commessi durante il periodo di sospensione condizionale della precedente pena; con sentenza del 10 maggio 2006, confermata su ricorso il 4 luglio 2006 e il 5 febbraio 2007 in ultima istanza dal Tribunale federale, l'interessato è stato condannato per violenza carnale alla pena di 27 mesi di reclusione, pena complementare a quella di cui alla sentenza del 9 dicembre 2003; con decreto di accusa del 29 maggio 2007 l'interessato è stato condannato alla pena pecuniaria di 90 aliquote giornaliere da fr. 130.00 cadauna per complessivi fr. 11'700.00 per appropriazione indebita, avendo nel periodo ottobre 2005 - settembre 2006 impiegato indebitamente, a proprio profitto, valori patrimoniali altrui affidatigli di fr. 46'000.--. Da quanto precede, emerge che l'interessato ha ripetutamente violato l'ordinamento giuridico vigente, perpetrando i summenzionati reati durante il periodo di sospensione condizionale. Il reato di cui al decreto di accusa del 29 maggio 2007 è stato invece commesso tra l'ottobre 2005 - al settembre 2006 nella fase di istruzione penale del reato di violenza carnale nonché durante la fase di ricorso di cui alla condanna di prima istanza del 10 maggio 2006.</w:t>
      </w:r>
    </w:p>
    <w:p>
      <w:r>
        <w:rPr>
          <w:b/>
        </w:rPr>
        <w:t>E. 5.2</w:t>
      </w:r>
    </w:p>
    <w:p>
      <w:r>
        <w:t>I reati di droga di cui si è reso colpevole l'interessato sono considerati gravi e giustificano l'in­tervento rigoroso e deciso da parte delle autorità competenti. La protezione della collettività, di fronte allo sviluppo del traffico degli stupefacenti,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sentenza del Tribunale federale 2C_313/2010 del 28 luglio 2010 consid. 5.2; sentenza del Tribunale amministrativo federale C-8304/2007 del 2 settembre 2009 consid. 9.2 e giurisprudenza ivi citata).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(DTF 129 II 215 consid. 7.3, DTF 125 II 521 consid. 4a/aa). A questo titolo giova rilevare come secondo la giurisprudenza della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lett. b ch. 1). Parimenti grave risulta il reato di violenza carnale, per il quale, nella sentenza del 10 maggio 2006, i giudici penali hanno ritenuto pesante la sua colpevolezza condannandolo a 27 mesi di reclusione. Con il suo atteggiamento il ricorrente ha dunque violato a molteplici riprese l'ordine e la sicurezza pubblici, minacciando beni quali la salute e l'integrità fisica che rappresentano un interesse fondamentale della società, conformemente a quanto stabilito dalla giurisprudenza della CGCE.</w:t>
      </w:r>
    </w:p>
    <w:p>
      <w:r>
        <w:rPr>
          <w:b/>
        </w:rPr>
        <w:t>E. 6.1</w:t>
      </w:r>
    </w:p>
    <w:p>
      <w:r>
        <w:t>In concreto l'oggetto del contendere porta unicamente sulla sospensione della misura amministrativa. Secondo una consolidata prassi, una sospensione di un divieto d'entrata è ammessa unicamente a titolo eccezionale e per ragioni importanti quale una citazione in giudizio, motivi personali importanti, il decesso di un membro della famiglia domiciliato in Svizzera, la visita a famigliari prossimi all'occasione di giorni festivi ed eventi famigliari importanti o per ragioni umanitarie.</w:t>
      </w:r>
    </w:p>
    <w:p>
      <w:r>
        <w:rPr>
          <w:b/>
        </w:rPr>
        <w:t>E. 6.2</w:t>
      </w:r>
    </w:p>
    <w:p>
      <w:r>
        <w:t>Le motivazioni che stanno alla base del divieto d'entrata e le argomentazione allegate alla richiesta di sospensione sono in stretto rapporto (cfr. sentenza del Tribunale amministrativo federale C-5426/2009 del 5 maggio 2010 consid. 3 e riferimenti ivi citati concernente il previgente art. 67 cpv. 4 LStr). A tale proposito, occorre osservare che, più le circostanze che hanno condotto l'UFM all'emissione di una decisione di divieto d'entrata sono gravi, tanto più importanti devono essere le motivazioni invocate a sostegno della domanda di sospensione.</w:t>
      </w:r>
    </w:p>
    <w:p>
      <w:r>
        <w:rPr>
          <w:b/>
        </w:rPr>
        <w:t>E. 6.3</w:t>
      </w:r>
    </w:p>
    <w:p>
      <w:r>
        <w:t>Il ricorrente nel suo gravame del 15 marzo 2010, fa valere da una parte la necessità di proseguire la terapia con i medici in Svizzera iniziata 5 anni prima e dall'altra la necessità di vedere regolarmente la sua famiglia, in particolare il figlio B._______.</w:t>
      </w:r>
    </w:p>
    <w:p>
      <w:r>
        <w:rPr>
          <w:b/>
        </w:rPr>
        <w:t>E. 6.3.1</w:t>
      </w:r>
    </w:p>
    <w:p>
      <w:r>
        <w:t>Dal certificato del 30 ottobre 2009 del dott. C._______ risulta che il ricorrente è sottoposto ad un trattamento integrato di tipo psichiatrico, psicofarmacologico e psicoterapeutico dal febbraio 2005 ed ha sempre dimostrato una compliance soddisfacente. Il medico osserva che, nonostante il beneficio che il paziente trae dalla terapia, le condizioni psicologiche sono ancora compromesse e ritiene pertanto necessario il proseguimento della terapia. Ora, questo Tribunale reputa che la presa a carico del ricorrente in vista di una riabilitazione psichica, cognitiva emotiva e comportamentale non deve essere fornita necessariamente dai medici in Svizzera. Il ricorrente vive nella vicina Italia, dove le strutture a livello medico sono paragonabili a quelle svizzere. La terapia di cui l'interessato necessita può dunque certamente essere ottenuta anche in Italia, previa adeguata informazione tra i medici curanti. Una sospensione del divieto d'entrata per tali motivi non può dunque essere presa in considerazione.</w:t>
      </w:r>
    </w:p>
    <w:p>
      <w:r>
        <w:rPr>
          <w:b/>
        </w:rPr>
        <w:t>E. 6.3.2</w:t>
      </w:r>
    </w:p>
    <w:p>
      <w:r>
        <w:t>L'interessato si prevale inoltre della presenza dei suoi famigliari in Svizzera, insistendo sulle conseguenze negative della sua lontananza dal figlio. Occorre dunque esaminare se vi è una violazione dell'art. 8 CEDU.</w:t>
      </w:r>
    </w:p>
    <w:p>
      <w:r>
        <w:rPr>
          <w:b/>
        </w:rPr>
        <w:t>E. 6.3.2.1</w:t>
      </w:r>
    </w:p>
    <w:p>
      <w:r>
        <w:t>L'art. 8 CEDU tutela la vita privata e familiare delle persone. Questa disposizione non garantisce tuttavia il diritto ad entrare in un determinato Stato (cfr. in questo senso segnatamente DTF 126 II 377 consid. 2b/cc; 125 II 633 consid. 3; Alain Wurzburger, La jurisprudence récente du Tribunal fédéral en matière de police des étrangers, Revue de droit administratif et de droit fiscal, RDAT 1 1997 pag. 282). Quanto all'art. 13 cpv. 1 della Costituzione federale del 18 aprile 1999 (Cost., RS 101), che garantisce il diritto alla vita privata e familiare, la protezione accordata corrisponde sostanzialmente a quella dell'art. 8 CEDU (cfr. DTF 137 I 167 consid. 7). Affinché uno straniero possa prevalersi di tale disposizione, deve intrattenere una relazione stretta, effettiva ed intatta con una persona della sua famiglia a beneficio di un diritto di presenza duraturo in Svizzera. Questo diritto non ha però valenza assoluta, ai sensi dell'art. 8 cpv. 2 CEDU un'ingerenza delle autorità rimane possibile (cfr. DTF 135 I 143 consid. 1.3.1 e 2.). Protetti dalle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 Secondo una costante giurisprudenza, la protezione consacrata dalla disposizione convenzionale si limita tuttavia alla famiglia in senso stretto, ovvero ai coniugi e ai figlio minorenni, sempreché una relazione effettiva ed intatta esista (cfr. sentenza del Tribunale federale 2C_110/2009 del 7 aprile 2009 consid. 2.3 e giurisprudenza ivi citata).</w:t>
      </w:r>
    </w:p>
    <w:p>
      <w:r>
        <w:rPr>
          <w:b/>
        </w:rPr>
        <w:t>E. 6.3.2.2</w:t>
      </w:r>
    </w:p>
    <w:p>
      <w:r>
        <w:t>Per quanto riguarda il rapporto con il figlio B._______ è necessario considerare che quest'ultimo è affidato alla madre e che l'insorgente beneficia di un diritto di visita ordinario. Con missiva del 1° settembre 2011 l'ex-compagna e madre di B._______ ha osservato che egli intrattiene con il padre contatti regolari e trascorre con lui due fine settimana al mese. I contatti con il figlio possono essere dunque mantenuti anche se ciò implica, da parte dei genitori del ricorrente, un certo sacrificio. Occorre inoltre rilevare che l'UFM ha sospeso a diverse riprese nel 2009, 2010 e 2011 il divieto d'entrata al fine di permettergli di rendere visita al figlio. Per quanto riguarda la moglie, cittadina bulgara al beneficio di un permesso di dimora, niente la impedisce di stabilirsi presso il marito in Italia e ad ogni modo, considerata la vicinanza, non è ostacolata dal recarsi a visitarlo. Infine, come rilevato in precedenza, per quanto riguarda il rapporto con i genitori, allo stesso si applica l'art. 8 CEDU unicamente nel caso in cui tra loro e i figli maggiorenni vi è un particolare rapporto di dipendenza. L'esistenza di un tale rapporto è di principio valutata nell'ambito di una procedura tesa al rilascio di un'autorizzazione di soggiorno: ciò che non è il caso nella specie. Dagli atti non risulta comunque sussistere un tale rapporto di dipendenza tra il ricorrente ed i genitori.</w:t>
      </w:r>
    </w:p>
    <w:p>
      <w:r>
        <w:rPr>
          <w:b/>
        </w:rPr>
        <w:t>E. 6.3.2.3</w:t>
      </w:r>
    </w:p>
    <w:p>
      <w:r>
        <w:t>Occorre ancora ricordare che la protezione del diritto al rispetto della vita privata e familiare, confe­rita della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(cfr. DTF 134 II 10 con­sid. 4.1 e 4.2 e la giurisprudenza ivi citata concernente un permesso di soggiorno in Svizzera). Visti i reati rimproverati al ricorrente, anche in presenza di un diritto alla vita privata e famigliare ai sensi dell'art. 8 cpv.1 CEDU, una sospensione della misura limitante tale diritto non sarebbe comunque giustificata. In considerazione di quanto precede, la decisione impugnata non viola l'art. 8 CEDU.</w:t>
      </w:r>
    </w:p>
    <w:p>
      <w:r>
        <w:rPr>
          <w:b/>
        </w:rPr>
        <w:t>E. 7</w:t>
      </w:r>
    </w:p>
    <w:p>
      <w:r>
        <w:t>In queste circostanze e tenuto conto del fatto che la presenza in Svizzera del ricorrente non appare indispensabile, visti i motivi suesposti, il Tribunale constata che il rifiuto pronunciato dall'UFM di sospendere gli effetti del divieto d'entrata è fondato. Ne discende che l'UFM, con la decisione del 22 gennaio 2010, non ha violato il diritto federale, né abusato del suo potere d'apprezzamento; l'autorità di prime cure non ha accertato in modo inesatto o incompleto i fatti giuridicamente rilevanti ed inoltre la decisione non è inadeguata (art. 49 PA). Il ricorso deve dunque essere respinto.</w:t>
      </w:r>
    </w:p>
    <w:p>
      <w:r>
        <w:rPr>
          <w:b/>
        </w:rPr>
        <w:t>E. 8</w:t>
      </w:r>
    </w:p>
    <w:p>
      <w:r>
        <w:t>Il Tribunale osserva inoltre che il fatto che il divieto d'entrata sia stato pronunciato per una durata indeterminata significa che, al momento dell'emissione della decisione, le circostanze non permettevano di fissarne la durata precisa. Di principio, trascorso un certo periodo di tempo, la persona interessata può sollecitare il riesame della decisione di divieto d'entrata, a condizione che tale richiesta non costituisca una manovra dilatoria. Spetterà poi all'autorità adita competente decidere il seguito da dare a questa domanda sulla base dei nuovi elementi del caso. Quest'ultima potrà entrare nel merito della richiesta a condizione che il ricorrente abbia lasciato per un lasso di tempo significativo la Svizzera ed abbia con il suo comportamento fatto prova di una durevole e significativa reintegrazione sociale, la quale prende inizio con il rispetto delle decisioni delle autorità (cfr. DTF 130 II 493 consid. 5; sentenza del Tribunale federale 2C_36/2009 del 20 ottobre 2009, consid. 3.2). A questo titolo giova rilevare che nell'ambito di un riesame l'autorità, qualora tutte le condizioni siano adempiute, è più libera nel proprio apprezzamento rispetto al caso di un divieto d'entrata di durata determinata, di modo che un'eventuale riduzione della misura adottata nei confronti dell'interessato non gli sarebbe di alcun giovamento.</w:t>
      </w:r>
    </w:p>
    <w:p>
      <w:r>
        <w:rPr>
          <w:b/>
        </w:rPr>
        <w:t>E. 9</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