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C-179/2010 vom 8. August 2011</w:t>
      </w:r>
    </w:p>
    <w:p>
      <w:r>
        <w:t>Bundesverwaltungsgericht, 2011-08-08, DE</w:t>
      </w:r>
    </w:p>
    <w:p>
      <w:r>
        <w:rPr>
          <w:b/>
        </w:rPr>
        <w:t xml:space="preserve">Quelle: </w:t>
      </w:r>
      <w:r>
        <w:t>https://mcp.opencaselaw.ch/entscheid/bvger_C-179_2010</w:t>
      </w:r>
    </w:p>
    <w:p>
      <w:r>
        <w:t>FR: TAF C-179/2010 du 8 août 2011</w:t>
      </w:r>
    </w:p>
    <w:p>
      <w:r>
        <w:t>IT: TAF C-179/2010 del 8 agosto 2011</w:t>
      </w:r>
    </w:p>
    <w:p>
      <w:pPr>
        <w:pStyle w:val="Heading2"/>
      </w:pPr>
      <w:r>
        <w:t>Regeste</w:t>
      </w:r>
    </w:p>
    <w:p>
      <w:r>
        <w:t>Einreiseverbot</w:t>
      </w:r>
    </w:p>
    <w:p>
      <w:pPr>
        <w:pStyle w:val="Heading2"/>
      </w:pPr>
      <w:r>
        <w:t>Erwägungen</w:t>
      </w:r>
    </w:p>
    <w:p>
      <w:r>
        <w:rPr>
          <w:b/>
        </w:rPr>
        <w:t>E. 5.1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die Beschwerdeführerin im Ergebnis nichts ändert (Urteil des Bundesverwaltungsgerichts C-820/2009 vom 9. März 2011 E. 5.1 mit Hinweis).</w:t>
      </w:r>
    </w:p>
    <w:p>
      <w:r>
        <w:rPr>
          <w:b/>
        </w:rPr>
        <w:t>E. 5.2</w:t>
      </w:r>
    </w:p>
    <w:p>
      <w:r>
        <w:t>Wie bereits die altrechtliche Einreisesperre (vgl. Art. 13 Abs. 1 ANAG)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6.6.1. In der angefochtenen Verfügung wird der Beschwerdeführerin insbesondere vorgeworfen, sich rechtswidrig in der Schweiz aufgehalten zu haben. Aus den Akten geht hervor, dass sie sich nach Ablauf der Ausreisefrist (13. März 2006) bis zu ihrer Ausschaffung am 8. Dezember 2009 unbestrittenermassen weiterhin in der Schweiz aufhielt. Ihr Aufenthalt ist als rechtswidrig im Sinne von Art. 115 Abs. 1 Bst. b AuG zu bezeichnen (zum entsprechenden bis zum 31. Dezember 2007 geltenden Art. 23 Abs. 1 al. 4 ANAG vgl. VALENTIN ROSCHACHER, Die Strafbestimmungen des Bundesgesetzes über Aufenthalt und Niederlassung der Ausländer vom 26. März 1931 [ANAG], Diss. Chur/Zürich 1991, S. 42 ff.). Die Beschwerdeführerin wurde deswegen auch strafrechtlich zur Verantwortung gezogen. Es steht ausser Zweifel, dass sie durch das Nichtbefolgen der behördlich angesetzten Ausreisefrist und den illegalen Aufenthalt von drei Jahren und knapp neun Monaten gegen die öffentliche Sicherheit und Ordnung in der Schweiz verstossen hat (vgl. Art. 67 Abs. 2 Bst. a AuG). Dass die Beschwerdeführerin nachweislich wiederholt gegen die öffentliche Sicherheit und Ordnung verstossen hat, zeigt sich auch daran, dass sie während ihres Aufenthaltes hierzulande wiederholt strafrechtlich zur Verantwortung gezogen werden musste. Mit Bussenverfügung vom 30. Juni 2006 wurde sie wegen Widerhandlung gegen das Transportgesetz mit Fr. 60.-- gebüsst. Am 9. Mai 2007 erliess das Bezirksamtes Kreuzlingen eine Strafverfügung wegen rechtswidriger Ausreise ausserhalb einer amtlich zugelassenen Grenzübergangsstelle und bestrafte sie mit einer Busse von Fr. 150.--. Mit Strafverfügung vom 30. Januar 2008 wurde die Beschwerdeführerin vom Bezirksamt Kreuzlingen wegen Missachtung einer Massnahme schuldig befunden und zu einer Geldstrafe von 30 Tagessätzen zu je Fr. 30.-- bestraft. Am 7. Januar 2010 verurteilte der Vizestatthalter des Bezirksamtes Kreuzlingen die Beschwerdeführerin wegen rechtswidrigen Aufenthalts begangen im Jahre 2009 zu einer unbedingten Freiheitsstrafe von sechs Monaten. Zudem wurde sie am 26. Januar 2006 bei der Kantonspolizei St. Gallen wegen Ladendiebstahls angezeigt. Die Regelmässigkeit mit welcher die Beschwerdeführerin strafrechtlich in Erscheinung getreten ist, bzw. die wiederholten Verstösse lassen darauf schliessen, dass sie offensichtlich nicht willens oder in der Lage ist, sich über einen längeren Zeitraum an die geltende Ordnung zu halten (vgl. Botschaft a.a.O., 3809). Die Beschwerdeführerin macht dagegen geltend, durch die bevorstehende Heirat mit ihrem in der Schweiz niedergelassenen Verlobten und den darauffolgenden Familiennachzug würden keinerlei Anhaltspunkte und Gefahren bestehen, dass sie sich erneut illegal in der Schweiz aufhalten und andere Straftaten begehen würde. Von einer allfälligen Heirat mit einer in der Schweiz niedergelassenen Person kann die Beschwerdeführerin jedoch nichts zu ihren Gunsten ableiten, ist eine Heirat doch nicht Garant dafür, keine Straftaten zu begehen. Nach dem oben Dargelegten (vgl. E. 5.2) hat die Beschwerdeführerin damit im mehrfacher Hinsicht gegen die öffentliche Sicherheit und Ordnung (Art. 67 Abs. 2 Bst. a AuG) verstossen. 6.2. Hinzu kommt, dass die Beschwerdeführerin in Ausschaffungs- und Durchsetzungshaft genommen und ausgeschafft werden musste, weshalb sie auch diesbezüglich Gründe für die Verhängung einer Fernhaltemassnahme gesetzt hat (vgl. Art. 67 Abs. 2 Bst. c AuG). 6.3. 6.3.1. Die Vorinstanz begründet das verhängte Einreiseverbot weiter damit, die Beschwerdeführerin habe durch die Ausschaffung Sozialkosten verursacht. Die Beschwerdeführerin bringt dagegen vor, dass bei einer erneuten Einreise keine Sozialhilfekosen mehr entstehen würden, da ihr zukünftiger Ehemann allfällige Kosten übernehmen würde. 6.3.2. Die Botschaft führt hierzu aus, ein Einreiseverbot solle insbesondere dann angeordnet werden, wenn die Gefahr bestehe, dass bei einer Wiedereinreise erneut Sozialhilfe- und Rückreisekosten entstünden (vgl. Botschaft, a.a.O., 3813). Eine Fernhaltemassnahme kann danach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 6.3.3. Die Beschwerdeführerin wurde zur Finanzierung ihres Lebensunterhalts in der Schweiz von der Sozialhilfe unterstützt. Nach Ablehnung ihres Asylgesuchs bezog sie regelmässig Nothilfe. Sie war während ihres mehrjährigen illegalen Aufenthalts denn auch kurze Zeit untergetaucht und wurde offensichtlich von ihrem Verlobten finanziell unterstützt. Unbestritten ist ferner, dass die Ausschaffungs- und Durchsetzungshaft und ihre Rückschaffung hohe Kosten verursacht haben. Es besteht daher die ernstzunehmende Gefahr, dass die Beschwerdeführerin im Falle einer Wiedereinreise erneut entsprechende Kosten verursachen würde. Das Vorbringen, ihr zukünftiger Ehemann werde für allfällige Kosten bei einer Wiedereinreise aufkommen, ist unbehelflich, da eine Heirat mit einer in der Schweiz niedergelassenen Person die mögliche Verursachung von Sozialkosten nicht ausschliesst. Damit ist auch diese Voraussetzung für die Verhängung eines Einreiseverbots als erfüllt zu betrachten (vgl. Art. 67 Abs. 2 Bst. b AuG). 7.Es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 des ordnungswidrigen Verhaltens und die persönlichen Verhältnisse des Verfügungsbelasteten bilden dabei den Ausgangspunkt der Überlegungen (vgl. statt vieler HÄFELIN / MÜLLER / UHLMANN, a.a.O., Rz. 613 ff.). 7.1. Wie dargelegt hat die Beschwerdeführerin nicht unerheblich gegen ausländerrechtliche Vorschriften verstossen. Das generalpräventiv motivierte öffentliche Interesse, die gesetzliche Ordnung durch eine konsequente Massnahmenpraxis gegenüber ausländischen Personen zu schützen, ist gewichtig. Im vorliegenden Fall treten spezialpräventive Gründe hinzu. Diesbezüglich ist insbesondere zu berücksichtigen, dass die Beschwerdeführerin sich unter Angabe einer falschen Identität während mehrerer Jahre rechtswidrig in der Schweiz aufgehalten hat, ohne sich um die Illegalität ihrer Anwesenheit zu kümmern und freiwillig Konsequenzen daraus zu ziehen. So widersetzte sie sich einer behördlich angesetzten Ausreisefrist und musste in Ausschaffungs- und Durchsetzungshaft genommen werden, was hohe Kosten verursachte. Mitzuberücksichtigen dabei ist auch die Missachtung einer behördlichen Massnahme, wegen welcher sie mit Strafverfügung vom 30. Januar 2008 vom Bezirksamt Kreuzlingen für schuldig befunden wurde. Ihr Verhalten vermittelt ganz allgemein das Bild einer Geringschätzung hiesiger Konventionen und Gesetzesnormen. Insofern sind die Voraussetzungen von Art. 67 Abs. 3 2. Satz erfüllt. Sowohl aus general- wie aus spezialpräventiven Überlegungen besteht daher ein erhebliches öffentliches Interesse daran, sie mit einem Einreiseverbot von der verhängten Dauer zu belegen. 7.2. Persönliche Interessen können in diesem Verfahren in der Beziehung der Beschwerdeführerin zu ihrem in der Schweiz niedergelassenen Verlobten erblickt werden. Die Beschwerdeführerin macht diesbezüglich geltend, das Einreiseverbot bis 2015 komme einem faktischen Ehehindernis gleich und verunmögliche ihr die Eheschliessung in der Schweiz, was gegen Art. 12 EMRK verstosse. Weiter stelle das Einreiseverbot ein Verbot gemeinsamen Familienlebens dar und verstosse somit gegen Art. 8 EMRK. Diese Rügen sind, wie sich aus den nachstehenden Erwägungen ergeben wird, unbegründet: Im vorliegenden Zusammenhang können allfällige Einschränkungen des Privat- bzw. Familienlebens der Beschwerdeführerin aufgrund sachlicher bzw. funktioneller Unzuständigkeit des Bundesverwaltungsgerichts nicht Verfahrensgegenstand sein, soweit sie auf das Fehlen eines dauerhaften Aufenthaltsrechts in der Schweiz zurückzuführen sind (vgl. Urteil des Bundesverwaltungsgerichts C-4509/2009 vom 7. Januar 2010 E. 7.3 mit Hinweisen). Die Erteilung von Aufenthaltsbewilligungen fällt grundsätzlich in die Zuständigkeit der Kantone, wobei im Falle einer Bewilligungserteilung auch das bestehende Einreiseverbot aufzuheben wäre (vgl. Urteile des Bundesgerichts 2C_793/2008 vom 27. März 2009 E. 3.2 sowie bereits schon 2A.141/2002 vom 19. Juli 2002 E. 1.4, eingehender 2C_473/2008 vom November 2008 E. 2.3). Dies hat der Rechtsvertreter der Beschwerdeführerin - trotz klaren Hinweises der Vorinstanz in ihrer Vernehmlassung vom 8. März 2010 - eindeutig übersehen. Eine Aufhebung oder Herabsetzung der Einreisesperre käme jedoch erst im Falle einer Eheschliessung in Frage. Sollte die Eheschliessung aus besonderen Gründen nur in der Schweiz stattfinden können, könnte die zuständige Behörde die Wirkung der Fernhaltemassnahme zu diesem Zweck für begrenzte Zeit zudem vorgängig aussetzen (Art. 67 Abs. 5 AuG). 8.Aus diesen Erwägungen folgt, dass sich die angefochtene Verfügung im Ergebnis als rechtmässig erweist (Art. 49 VwVG). Die Beschwerde ist daher abzuweisen. 9.Entsprechend dem Ausgang des Verfahrens sind der Beschwerdeführerin die Kosten aufzuerlegen (Art. 63 Abs. 1 VwVG). Diese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