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C-1790/2007 vom 20. Juni 2008</w:t>
      </w:r>
    </w:p>
    <w:p>
      <w:r>
        <w:t>Bundesverwaltungsgericht, 2008-06-20, DE</w:t>
      </w:r>
    </w:p>
    <w:p>
      <w:r>
        <w:rPr>
          <w:b/>
        </w:rPr>
        <w:t xml:space="preserve">Quelle: </w:t>
      </w:r>
      <w:r>
        <w:t>https://mcp.opencaselaw.ch/entscheid/bvger_C-1790_2007</w:t>
      </w:r>
    </w:p>
    <w:p>
      <w:r>
        <w:t>FR: TAF C-1790/2007 du 20 juin 2008</w:t>
      </w:r>
    </w:p>
    <w:p>
      <w:r>
        <w:t>IT: TAF C-1790/2007 del 20 giugno 2008</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Augsgleichskasse.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Vorliegend ist strittig und vom Bundesverwaltungsgericht zu prüfen, ob die SAK den Sachverhalt richtig festgestellt hat und den Beschwerdeführer zu Recht nicht in die freiwillige Versicherung aufgenommen hat.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7 Abs. 1 der Verordnung über die freiwillige Alters-, Hinterlassenen- und Invalidenversicherung vom 26. Mai 1961 (VFV, SR 831.111)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Liegen ausserordentliche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(Art. 11 VFV).</w:t>
      </w:r>
    </w:p>
    <w:p>
      <w:r>
        <w:rPr>
          <w:b/>
        </w:rPr>
        <w:t>E. 3.2</w:t>
      </w:r>
    </w:p>
    <w:p>
      <w:r>
        <w:t>Der Beschwerdeführer hat sich gemäss Angaben der Einwohnerkontrolle S._______ per 31. Oktober 2000 nach Spanien abgemeldet. Gemäss Angaben in der Beitrittserklärung vom 25. Mai 2006 hat er sich im Mai 2006 in Thailand niedergelassen. In seiner Einsprache vom 11. Februar 2007 hat sich der Beschwerdeführer dahingehend geäussert, dass er damals bei Freunden in Spanien zu Besuch gewesen sei und er deren Adresse der Gemeinde S._______ nur für den Fall allfälliger Nachfragen in Bezug auf Steuerangelegenheiten angegeben habe. Er habe sich in Spanien jedoch nie niedergelassen und sei seit der Abmeldung in S._______ herumgereist und ohne festen Wohnsitz gewesen. Sein Gesuch sei somit innert der einjährigen Frist zur Erklärung des Beitritts erfolgt. Der Beschwerdeführer hat sich zwar bereits im Oktober 2000 von der Gemeinde S._______ abgemeldet, dennoch hat er sich in der Folge bei der kantonalen Ausgleichskasse S._______ als Nichterwerbstätiger der obligatorischen Versicherung unterstellt. Die Ausführungen des Beschwerdeführers wie auch sein gezeigtes Verhalten (Registrierung als Nichterwerbstätiger bei der obligatorischen Versicherung und Bezahlung der entsprechenden Beiträge sowie unverzügliches Stellen eines Beitrittsgesuchs nach der Begründung des Wohnsitzes in Thailand), deuten darauf hin, dass der Beschwerdeführer seinen Wohnsitz in der Gemeinde S._______ gemäss Art. 13 Abs. 1 ATSG in Verbindung mit Art. 24 Abs. 1 des Schweizerischen Zivilgesetzbuchs vom 10. Dezember 1907 (ZGB, SR 210) bis zur Begründung des Wohnsitzes in Thailand im Mai 2006 beibehalten hat. Die Vorinstanz hat es allerdings unterlassen, zu dieser Frage vom Beschwerdeführer Belege einzuverlangen. So fehlen in den Akten beispielsweise Passkopien oder Flugbestätigungen, welche den vom Beschwerdeführer dargestellten Sachverhalt belegen könnten. Diesbezüglich ist der Sachverhalt somit unvollständig ermittelt worden.</w:t>
      </w:r>
    </w:p>
    <w:p>
      <w:r>
        <w:rPr>
          <w:b/>
        </w:rPr>
        <w:t>E. 3.3</w:t>
      </w:r>
    </w:p>
    <w:p>
      <w:r>
        <w:t>Der Beschwerdeführer war gemäss Bestätigung der Ausgleichskasse S._______ vom 31. Juli 2007 in den Jahren 2002 bis und mit 2006 als Nichterwerbstätiger erfasst und hat entsprechende Beiträge geleistet. Im Jahr 2001 hatte sich der Beschwerdeführer bereits bei der Ausgleichskasse als Nichterwerbstätiger angemeldet, wurde jedoch aufgrund der in jenem Jahr durch Erwerbstätigkeit geleisteten Beiträge von einer weitergehenden Beitragspflicht befreit. Dies hat die Ausgleichskasse S._______ dem Beschwerdeführer mit Schreiben vom 2. Oktober 2001 bestätigt. Die im individuellen Kontoauszug für die Jahre 2000 und 2001 deklarierten Einkommen lassen aufgrund ihrer Höhe in Verbindung mit der Anzahl Beitragsmonate Zweifel aufkommen, ob es sich dabei effektiv um Lohn und nicht um eine Abgangsentschädigung handelt. Sollte es sich um eine Abgangsentschädigung handeln, wäre zum einen zu prüfen, ob der Beschwerdeführer in den entsprechenden Monaten auch gearbeitet hat oder ob lediglich die Abgangsentschädigung bezahlt und verbucht wurde. Diesfalls könnte der Beschwerdeführer in der entsprechenden Zeit gemäss Art. 1a Abs. 1 lit. b AHVG nicht als Versicherter aufgrund Erwerbstätigkeit gelten, da eine solche eben gerade nicht ausgeübt wurde (vgl. BGE 111 V 167 Erw. 4c). Zum anderen wäre zu prüfen, ob der Beschwerdeführer unter dem Gesichtspunkt von Treu und Glauben nachträglich als Nichterwerbstätiger zu erfassen ist, verbunden mit der Pflicht, entsprechende Beiträge nachzuzahlen. Diese Möglichkeit setzt allerdings voraus, dass der Beschwerdeführer in der fraglichen Zeit noch Wohnsitz in der Schweiz hatte und somit eine Erfassung als Nichterwerbstätiger überhaupt möglich wäre. Unterlagen, welche eine Klärung der aufgeworfenen Fragen, insbesondere wann das Arbeitsverhältnis beendet wurde, erlauben, befinden sich nicht in den Akten und sind somit noch einzuverlangen. Auch diesbezüglich kann daher festgehalten werden, dass der Sachverhalt durch die Vorinstanz unvollständig ermittelt worden ist.</w:t>
      </w:r>
    </w:p>
    <w:p>
      <w:r>
        <w:rPr>
          <w:b/>
        </w:rPr>
        <w:t>E. 3.4</w:t>
      </w:r>
    </w:p>
    <w:p>
      <w:r>
        <w:t>Die SAK macht zudem geltend, der Beschwerdeführer könne sich nicht mit Wirkung ab Juni 2006 freiwillig versichern, da er zu jenem Zeitpunkt noch obligatorisch versichert gewesen sei. Diesbezüglich ist festzuhalten, dass die Ansicht der SAK zwar insofern zutreffend ist, dass eine gleichzeitige Unterstellung sowohl unter die obligatorische als auch unter die freiwillige Versicherung grundsätzlich - ausser im Falle von Art. 7 VFV, in welchem aber eine Erwerbstätigkeit vorausgesetzt wird - nicht möglich ist. Eine Entrichtung von Beiträgen an die obligatorische Versicherung bedeutet allerdings keine zwingende Unterstellung unter die obligatorische Versicherung. Sind nämlich die Versicherungsvoraussetzungen wie im vorliegenden Fall nicht mehr gegeben, so hat allein die Entrichtung von Beiträgen an die obligatorische Versicherung trotz Wegfall der Versicherungsvoraussetzungen (vorliegend: Aufgabe des Wohnsitzes in der Schweiz) keine Unterstellung unter die obligatorische Versicherung zur Folge und stellt somit auch kein Hinderungsgrund für einen Beitritt zur freiwilligen Versicherung dar. Nach Aufnahme in die freiwillige Versicherung hätte der Beschwerdeführer die Möglichkeit, zuviel bezahlte Beiträge an die obligatorische Versicherung gestützt auf Art. 16 Abs. 3 AHVG zurückzufordern.</w:t>
      </w:r>
    </w:p>
    <w:p>
      <w:r>
        <w:rPr>
          <w:b/>
        </w:rPr>
        <w:t>E. 3.5</w:t>
      </w:r>
    </w:p>
    <w:p>
      <w:r>
        <w:t>Zusammenfassend kann somit festgestellt werden, dass die Vorinstanz den rechtserheblichen Sachverhalt in mehreren Punkten unvollständig festgestellt hat und die Beschwerde demzufolge gutzuheissen und der Einspracheentscheid vom 19. Februar 2007 aufzuheben ist. Nach Art. 61 Abs. 1 VwVG kann die Beschwerdeinstanz die zu beurteilende Sache, statt selbst zu entscheiden, mit verbindlichen Weisungen an die Vorinstanz zurückweisen. Ein solcher Ausnahmefall ist hier wegen der in entscheidenden Punkten unvollständigen Akten gegeben, weshalb die Sache an die SAK zurückgewiesen wird, damit sie den rechtserheblichen Sachverhalt vollständig abkläre. Die Sache wird zur weiteren Abklärung des rechtserheblichen Sachverhalts im Sinne der Erwägungen 3.2 und 3.3 sowie zum Erlass einer neuen Verfügung an die Vorinstanz zurückgewiesen.</w:t>
      </w:r>
    </w:p>
    <w:p>
      <w:r>
        <w:rPr>
          <w:b/>
        </w:rPr>
        <w:t>E. 4.1</w:t>
      </w:r>
    </w:p>
    <w:p>
      <w:r>
        <w:t>Das Verfahren ist für die Parteien kostenlos (Art. 85bis Abs. 2 AHVG), so dass keine Verfahrenskosten zu erheben sind.</w:t>
      </w:r>
    </w:p>
    <w:p>
      <w:r>
        <w:rPr>
          <w:b/>
        </w:rPr>
        <w:t>E. 4.2</w:t>
      </w:r>
    </w:p>
    <w:p>
      <w:r>
        <w:t>Da dem obsiegenden Beschwerdeführer keine unverhältnismässig grossen Kosten entstanden sind und dieser zu Recht auch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