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C-1786/2007 vom 3. Juni 2010</w:t>
      </w:r>
    </w:p>
    <w:p>
      <w:r>
        <w:t>Bundesverwaltungsgericht, 2010-06-03, DE</w:t>
      </w:r>
    </w:p>
    <w:p>
      <w:r>
        <w:rPr>
          <w:b/>
        </w:rPr>
        <w:t xml:space="preserve">Quelle: </w:t>
      </w:r>
      <w:r>
        <w:t>https://mcp.opencaselaw.ch/entscheid/bvger_C-1786_2007</w:t>
      </w:r>
    </w:p>
    <w:p>
      <w:r>
        <w:t>FR: TAF C-1786/2007 du 3 juin 2010</w:t>
      </w:r>
    </w:p>
    <w:p>
      <w:r>
        <w:t>IT: TAF C-1786/2007 del 3 giugno 2010</w:t>
      </w:r>
    </w:p>
    <w:p>
      <w:pPr>
        <w:pStyle w:val="Heading2"/>
      </w:pPr>
      <w:r>
        <w:t>Regeste</w:t>
      </w:r>
    </w:p>
    <w:p>
      <w:r>
        <w:t>Zustimmung zur Aufenthaltsbewilligung</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Die Beschwerdeführerin ist als Verfügungsadressatin zur Beschwerde legitimiert (Art. 48 Abs. 1 VwVG). Auf die im übrigen frist- und formgerecht eingereichte Beschwerde ist daher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Unter Vorbehalt des Verbots echter Rückwirkung ist in gleicher Weise das zum Zeitpunkt des Entscheids in Kraft stehende Recht anzuwenden. Dessen Übergangsbestimmungen können freilich für gewisse Sachverhalte die Nachwirkung des alten Rechts vorsehen.</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wie es vorliegend der Fall ist, bleibt nach der übergangsrechtlichen Ordnung des AuG das alte materielle Recht anwendbar. Dabei ist entgegen dem zu engen Wortlaut des Art. 126 Abs. 1 AuG ohne Belang, ob das Verfahren auf Gesuch hin oder von Amtes wegen eröffnet wurde (vgl. BVGE 2008/1 E. 2 mit Hinweisen). Einschlägig sind das Bundesgesetz vom 26. März 1931 über Aufenthalt und Niederlassung der Ausländer (ANAG, BS 1 121), die Vollziehungsverordnung vom 1. März 1949 zum Bundesgesetz über Aufenthalt und Niederlassung der Ausländer (ANAV, AS 1949 228), die Verordnung vom 20. April 1983 über das Zustimmungsverfahren im Ausländerrecht (nachfolgend: Zustimmungsverordnung, AS 1983 535) und die Begrenzungsverordnung. Das Verfahren selbst folgt grundsätzlich dem neuen Verfahrens- und Organisationsrecht (Art. 126 Abs. 2 AuG).</w:t>
      </w:r>
    </w:p>
    <w:p>
      <w:r>
        <w:rPr>
          <w:b/>
        </w:rPr>
        <w:t>E. 3</w:t>
      </w:r>
    </w:p>
    <w:p>
      <w:r>
        <w:t>Vorweg ist auf den Einwand der Beschwerdeführerin einzugehen, die angefochtene Verfügung sei wegen Verletzung der Verfahrens- und Organisationsordnung nichtig, zumindest aber gäben die Mängel Anlass für eine Sistierung des Rechtsmittelverfahrens bis zum Abschluss des Verfahrens auf Verlängerung der Aufenthaltsbewilligung.</w:t>
      </w:r>
    </w:p>
    <w:p>
      <w:r>
        <w:rPr>
          <w:b/>
        </w:rPr>
        <w:t>E. 3.1</w:t>
      </w:r>
    </w:p>
    <w:p>
      <w:r>
        <w:t>Die Beschwerdeführerin stellt einleitend fest, dass die Zuständigkeit, Aufenthaltsbewilligungen zu erteilen, bzw. diese zu verlängern, bei den Kantonen liege. In gewissen Fällen bedürften sie nach Massgabe des ANAG, der ANAV und der Zustimmungsverordnung der Zustimmung des BFM. Das BFM sei hingegen zuständig für die Beurteilung von Härtefallgesuchen nach Art. 13 Bst. f BVO. In diesen Fällen könne es direkt verfügen. Ausgehend von diesen Feststellungen rügt die Beschwerdeführerin, dass die mit der Angelegenheit befassten Behörden ihr gewöhnliches Gesuch um Verlängerung der Aufenthaltsbewilligung eigenmächtig in eine solches nach Art. 13 Bs. f BVO umgewandelt hätten. Es erstaune daher nicht, dass immer wieder von einer Zustimmung des Bundesamtes die Rede gewesen sei, und die Vorinstanz nicht etwa ein Härtefallgesuch abgewiesen, sondern in ihrer Verfügung die Zustimmung zur Verlängerung der Aufenthaltsbewilligung verweigert habe. Diese Zustimmung könne die Vorinstanz bekanntlich nicht der Beschwerdeführerin gegenüber, sondern nur der zuständigen kantonalen Behörde gegenüber verweigern. Die Vorinstanz habe demnach mit der angefochtenen Verfügung ein Gesuch beurteilt, das gar nicht gestellt worden sei, und andererseits im Dispositiv eine Anordnung getroffen, die sich unmöglich an sie, die Beschwerdeführerin, richten könne. Es trete hinzu, dass die von der Vorinstanz gewählte Vorgehensweise zu einer unzulässigen Verkür-zung der Verfahrenswege führe. In der Tat müsse in einem ersten Schritt zunächst das Gesuch um Verlängerung der Aufenthaltsbewilligung beurteilt werden. Im Rahmen dieses Verfahrens könne das BFM der kantonalen Behörde seine Zustimmung geben oder verweigern. Werde die Zustimmung verweigert, müsse die kantonale Behörde eine negative Verfügung erlassen, die ihrerseits angefochten werden könne. Nachdem ein negativer Entscheid rechtskräftig geworden sei, bestehe in einem zweiten Schritt die Möglichkeit, beim BFM ein Härtefallgesuch nach Art. 13 Bst. f BVO zu stellen, wobei der Entscheid des BFM wiederum mit den entsprechenden Rechtsmitteln angefochten werden könne. Indem die Vorinstanz die Härtefallfrage vorweggenommen habe, seien die beiden Verfahren vermischt und sie, die Beschwerdeführerin, in ihren Rechtsmitteln auf unzulässige Weise eingeschränkt worden. Es sei ihr die Möglichkeit genommen worden, eine kantonale Verfügung zu erwirken und diese - wenn überhaupt nötig - bei den zuständigen Stellen anzufechten.</w:t>
      </w:r>
    </w:p>
    <w:p>
      <w:r>
        <w:rPr>
          <w:b/>
        </w:rPr>
        <w:t>E. 3.2</w:t>
      </w:r>
    </w:p>
    <w:p>
      <w:r>
        <w:t>Die bundesstaatliche Kompetenzordnung im Ausländerrecht, wie sie in Art. 18 ANAG sowie der Begrenzungs- und der Zustimmungsverordnung zum Ausdruck kommt, ist vom Grundsatz gekennzeichnet, dass die Kantone zwar befugt sind, Bewilligungen in eigener Zuständigkeit zu verweigern, dass aber bei Gutheissung eines Gesuchs um Aufenthalt oder Niederlassung regelmässig die Zustimmung auch des Bundes erforderlich ist (vgl. dazu BGE 127 II 49 E. 3a S. 51 f.). Die Zustimmung ist nicht bloss eine verwaltungsinterne Anordnung. Als konstitutives Element der rechtswirksamen Bewilligungserteilung (vgl. Art. 19 Abs. 5 ANAV), das als Ausdruck der Aufsichtskompetenz des Bundes im Ausländerrecht der kantonalen Rechtsprechungszuständigkeit entzogen ist, regelt sie unmittelbar die Rechtsstellung der gesuchstellenden ausländischen Person. Daraus ergibt sich zweierlei: Zum einen handelt es sich bei der Verweigerung der Zustimmung um eine Verfügung im Sinne von Art. 5 VwVG, der gegenüber der ausländischen Person die gewöhnlichen Rechtschutzinstrumente der Bundesrechtspflege zustehen (vgl. statt vieler BGE 120 Ib 6 E. 1 S. 8). Zum anderen lässt die rechtskräftige Verweigerung der Zustimmung durch das Bundesamt keinen Raum für eine Fortsetzung des Bewilligungsverfahrens auf kantonaler Ebene.</w:t>
      </w:r>
    </w:p>
    <w:p>
      <w:r>
        <w:rPr>
          <w:b/>
        </w:rPr>
        <w:t>E. 3.3</w:t>
      </w:r>
    </w:p>
    <w:p>
      <w:r>
        <w:t>Im Falle der Beschwerdeführerin ergibt sich das Erfordernis der Zustimmung aus der Zustimmungsverordnung, auf die sich die angefochtene Verfügung ausdrücklich stützt. Art. 1 Abs. 1 Bst. a Zustimmungsverordnung erklärt das BFM für zuständig, über die Zustimmung zu erstmaligen Aufenthaltsbewilligungen und zu Verlängerungen zu befinden, wenn die Koordination der Praxis im Rahmen des Gesetzesvollzugs die Zustimmung für bestimmte Gruppen von Ausländern verlangt. Zu einer solchen Gruppe ausländischer Personen gehört die Beschwerdeführerin. Gemäss Ziff. 132.4 Bst. e der Weisungen und Erläuterungen des BFM vom Mai 2006 über Einreise, Aufenthalt und Arbeitsmarkt (ANAG-Weisungen) ist nämlich die Verlängerung der Aufenthaltsbewilligung eines Ausländers oder einer Ausländerin nach Scheidung vom schweizerischen Ehegatten oder nach dessen Tod dem BFM zur Zustimmung zu unterbreiten, falls der Ausländer oder die Ausländerin nicht aus einem Mitgliedstaat der EFTA oder der EG stammt. Art. 13 Bst. f BVO, der beim Vorliegen eines schwerwiegenden persönlichen Härtefalls erwerbstätige ausländische Personen von den Höchstzahlen der Begrenzungsverordnung ausnimmt, ist dagegen nicht einschlägig, denn als Witwe eines Schweizer Bürgers untersteht die Beschwerdeführerin den Höchstzahlen ohnehin nicht (Art. 12 Abs. 2 zweiter Satz BVO in Verbindung mit Art. 3 Abs. 1 Bst. c und Abs. 1bis BVO). Diese Frage ist denn auch nicht Gegenstand der angefochtenen Verfügung, wie die Beschwerdeführerin unverständlicherweise annimmt. Dass die Vorinstanz auf den Begriff des Härtefalles rekurriert, ist Folge des Grundsatzes der Verhältnismässigkeit staatlichen Handelns, der im Rahmen des pflichtgemässen Ermessens eine Abwägung widerstreitender öffentlicher und privater Interessen einfordert. Darauf wird später einzugehen sein.</w:t>
      </w:r>
    </w:p>
    <w:p>
      <w:r>
        <w:rPr>
          <w:b/>
        </w:rPr>
        <w:t>E. 3.4</w:t>
      </w:r>
    </w:p>
    <w:p>
      <w:r>
        <w:t>Die Einwände der Beschwerdeführerin sowie die gestützt darauf gestellten Anträge beruhen somit auf einer grundsätzlichen Fehlinterpretation des Ausländerrechts. Sie sind als offensichtlich unbegründet zurückzuweisen.</w:t>
      </w:r>
    </w:p>
    <w:p>
      <w:r>
        <w:rPr>
          <w:b/>
        </w:rPr>
        <w:t>E. 4.1</w:t>
      </w:r>
    </w:p>
    <w:p>
      <w:r>
        <w:t>Die Beschwerdeführerin rügt ferner, die Vorinstanz habe ihr Akteneinsichtsgesuch vom 22. Februar 2007 am 27. Februar 2007 abschlägig beantwortet und zwar mit dem Hinweis, "dass es sich um Kopien kantonaler Akten handle und das Gesuch daher an die zuständigen Behörden der Stadt Bern zu richten sei". Diese Feststellung sei, so die Beschwerdeführerin, falsch und stelle eine krasse Verletzung des rechtlichen Gehörs dar, die unabhängig davon, ob deren Gewährung für den Ausgang des Verfahrens relevant sei, zur Aufhebung der angefochtenen Verfügung führen müsse. In der Tat sei es so, dass die Vorinstanz eine an sie gerichtete Verfügung erlassen und sich mit Schreiben vom 23. Januar 2007 an sie gewandt habe. Ob weitere Dokumente vorhanden seien, entziehe sich ihrer Kenntnis.</w:t>
      </w:r>
    </w:p>
    <w:p>
      <w:r>
        <w:rPr>
          <w:b/>
        </w:rPr>
        <w:t>E. 4.2</w:t>
      </w:r>
    </w:p>
    <w:p>
      <w:r>
        <w:t>Die Kritik der Beschwerdeführerin, welche im übrigen von der Migrationsbehörde der Stadt Bern am 26. Februar 2007 volle Einsicht in die kantonalen Akten erhielt, ist unverständlich. Nicht nur trug sich der gesamte Vorgang nach Erlass der angefochtenen Verfügung zu - die Beschwerdeführerin ersuchte nachträglich im Hinblick auf ein zu ergreifendes Rechtsmittel um Akteneinsicht -, sodass von einem die angefochtene Verfügung ohne weiteres in Frage stellenden Verfahrensfehler formeller Natur zum vornherein nicht die Rede sein kann. Darüber hinaus ist nicht erkennbar, welche von der Vorinstanz in ihrem Schreiben vom 27. Februar 2007 getroffene Feststellung falsch sein, geschweige denn eine Gehörsverletzung darstellen soll. Der Hinweis auf die angefochtene Verfügung und das Schreiben der Vorinstanz vom 23. Januar 2007, mit dem der Beschwerdeführerin rechtliches Gehör eingeräumt wurde, geht schon deshalb an der Sache vorbei, weil die Vorinstanz in ihrem Schreiben vom 27. Februar 2007 nicht etwa behauptet, dass sie über keine eigenen Akten verfügt, sondern erklärt, dass sie auf die Zustellung bekannter Akten aus ökonomischen Gründen verzichtet.</w:t>
      </w:r>
    </w:p>
    <w:p>
      <w:r>
        <w:rPr>
          <w:b/>
        </w:rPr>
        <w:t>E. 4.3</w:t>
      </w:r>
    </w:p>
    <w:p>
      <w:r>
        <w:t>Hätte sich die Beschwerdeführerin - beispielsweise mittels eines vollständigen Aktenverzeichnisses - über den Bestand des vorinstanzlichen Dossiers Sicherheit verschaffen und auch die Edition derjenigen Aktenstücke erwirken wollen, auf deren Zustellung nach Auffassung der Vorinstanz verzichtet werden konnte, hätte sie mit entsprechenden Begehren bei der Vorinstanz oder - nach Einleitung des Rechtsmittelverfahrens - beim Bundesverwaltungsgericht intervenieren können und müssen. Das hat sie jedoch nicht getan. Die Rüge der Beschwerdeführerin ist daher zurückzuweisen.</w:t>
      </w:r>
    </w:p>
    <w:p>
      <w:r>
        <w:rPr>
          <w:b/>
        </w:rPr>
        <w:t>E. 5</w:t>
      </w:r>
    </w:p>
    <w:p>
      <w:r>
        <w:t>Als Zwischenergebnis ist festzustellen, dass sich die mit Verfahrensfehlern begründeten und auf Feststellung der Nichtigkeit bzw. Aufhebung der angefochtenen Verfügung gerichteten Anträge in der Rechtsmittelschrift als unbegründet erweisen. Auf reformatorische Anträge verzichtete der damalige Rechtsvertreter. Desgleichen fiel auch die inhaltliche Auseinandersetzung mit der angefochtenen Verfügung sehr rudimentär aus. Ein entsprechender Antrag mit ausführlicher Begründung wird erst durch die neu beigezogene Rechtsvertreterin mit ihrer Eingabe vom 22. Februar 2010 und damit verspätet ins Verfahren eingebracht. Wenn das Bundesverwaltungsgericht darauf eintritt und die angefochtene Verfügung nachfolgend einer materiellen Prüfung unterwirft, so deshalb, weil der Antrag bei wohlwollender Betrachtungsweise als in der Rechtsmittelschrift mitenthalten betrachtet werden kann und ein hinreichend enger Bezug zum Streitgegenstand besteht (vgl. dazu FRANK SEETHALER / FABIA BOCHSLER, in: Bernhard Waldmann / Philippe Weissenberger [Hrsg.], Praxiskommentar zum Bundesgesetz über das Verwaltungsverfahren, Zürich / Basel / Genf 2009, Rz. 40 und 78 zu Art. 52 mit Hinweisen).</w:t>
      </w:r>
    </w:p>
    <w:p>
      <w:r>
        <w:rPr>
          <w:b/>
        </w:rPr>
        <w:t>E. 6</w:t>
      </w:r>
    </w:p>
    <w:p>
      <w:r>
        <w:t>Der schweizerische Ehegatte der Beschwerdeführerin ist verstorben, bevor dieser gestützt auf Art. 7 Abs. 1 Satz 2 ANAG ein zivilstandsun-abhängiger Anspruch auf Verlängerung ihrer Aufenthaltsbewilligung erwachsen konnte (vgl. BGE 130 II 49 E. 3.2.3 S. 54 f., 128 II 145 E. 1.1.4 und 1.1.5 S. 149 f. mit Hinweisen). Eine andere Anspruchsgrundlage des Landes- und Völkerrechts besteht nicht. Eine solche kann namentlich nicht in Art. 50 AuG erblickt werden, der zwar neue Ansprüche auf Verlängerung der Aufenthaltsbewilligung nach Auflösung der Ehe vorsieht, auf die vorliegende Streitsache jedoch wegen der intertemporalen Unterstellung unter das alte Recht nicht anwendbar ist (vgl. oben Ziff. 2.2, ferner Urteile des Bundesgerichts 2C_245/2008 vom 27. März 2008 E. 2.2.2 und 2C_451/2007 vom 22. Januar 2008 E. 1.2). Bei dieser Rechtslage liegt der Entscheid über die Erteilung oder Verweigerung der Zustimmung im pflichtgemässen Ermessen des BFM (Art. 4 ANAG). Eine Bindung an die kantonale Beurteilung besteht nicht. Das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7</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(oder der) Betroffenen andererseits (vgl. statt vieler ULRICH HÄFELIN / GEORG MÜLLER / FELIX UHLMANN, Allgemeines Verwaltungsrecht, 5. Aufl., Zürich und St. Gallen 2006, S.127 f.).</w:t>
      </w:r>
    </w:p>
    <w:p>
      <w:r>
        <w:rPr>
          <w:b/>
        </w:rPr>
        <w:t>E. 7.1</w:t>
      </w:r>
    </w:p>
    <w:p>
      <w:r>
        <w:t>Richtschnur und äusseren Rahmen der Interessenabwägung bilden die Grundentscheidungen des Ausländerrechts, namentlich die in Art. 1 BVO formulierten migrationspolitischen Ziele und die damit zusammenhängende restriktive Einwanderungspolitik gegenüber erwerbstätigen ausländischen Personen aus dem Nicht-EU/EFTA-Raum (in der Folge: Drittstaatsangehörige). Diese Politik findet ihren Ausdruck unter anderem in den strengen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zweiter Satz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dazu Urteil des Bundesverwaltungs-gerichts C-4302/2007 vom 20. Dezember 2007 E. 4.1 mit Hinweisen; ferner Ziff. 654 ANAG-Weisungen).</w:t>
      </w:r>
    </w:p>
    <w:p>
      <w:r>
        <w:rPr>
          <w:b/>
        </w:rPr>
        <w:t>E. 7.2</w:t>
      </w:r>
    </w:p>
    <w:p>
      <w:r>
        <w:t>Unter dem Gesichtspunkt der Verhältnismässigkeit ist zu prüfen, ob die Durchsetzung der restriktiven Migrationspolitik im konkreten Einzelfall zu unbilligen, vom öffentlichen Interesse an der Durchsetzung einer restriktiven Einwandungspolitik nicht gedeckten Härten bei der betroffenen ausländischen Person führt. Entscheidend ist,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C-7331/2007 vom 9. Mai 2008 E. 7.2 mit Hinweis; ferner Ziff. 654 ANAG-Weisungen).</w:t>
      </w:r>
    </w:p>
    <w:p>
      <w:r>
        <w:rPr>
          <w:b/>
        </w:rPr>
        <w:t>E. 7.3</w:t>
      </w:r>
    </w:p>
    <w:p>
      <w:r>
        <w:t>Welcher Grad an Betroffenheit in den persönlichen Verhältnissen notwendig ist, damit das öffentliche Interesse an der Durchsetzung der restriktiven Migrationspolitik gegenüber Drittausländern zurückzustehen hat, ist vorab mit Blick auf die Regelung des Art. 7 Abs. 1 ANAG zu beantworten,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jeweiligen Einzelfall zukommt, das heisst der Dauer der ehelichen Gemeinschaft auf schweizerischem Territorium, den Umständen der Auflösung der ehelichen Gemeinschaft und - im letzteren Zusammenhang - allfälligen Gewalterfahrungen in der Ehe sowie der Existenz gemein-samer Kinder.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(vgl. Urteil des Bundesverwaltungsgerichts C-7331/2007 vom 9. Mai 2008 E. 7.3 mit Hinweisen; vgl. schliesslich die abgestufte Regelung in Art. 50 AuG). Dabei darf jedoch nicht ausser Acht gelassen werden, dass der Verordnungsgeber in Art. 12 Abs. 2 zweiter Satz BVO unter anderem ausländische Ehegatten von Schweizer Bürgern von den Höchstzahlen der Begrenzungsverordnung auch für die Zeit nach Auflösung der Ehe ausnimmt und auf diese Weise ihrer besonderer Lage Rechnung trägt.</w:t>
      </w:r>
    </w:p>
    <w:p>
      <w:r>
        <w:rPr>
          <w:b/>
        </w:rPr>
        <w:t>E. 7.4</w:t>
      </w:r>
    </w:p>
    <w:p>
      <w:r>
        <w:t>Die Beschwerdeführerin und ihr verstorbener Ehemann kannten sich seit dem Jahr 1999. Im Sommer 2003 gingen sie in der Mongolei die Ehe ein. Anschliessend führten sie während gut zweier Jahre umständehalber eine Fernbeziehung - der Ehemann war weltweit auf Montage tätig -, bis sie den Entschluss fassten, sich auf Dauer in der Schweiz niederzulassen. Nachdem der Ehemann die notwendigen Vorbereitungen in der Schweiz getroffen hatte, zog ihm die Beschwerdeführerin am 8. September 2006 hierher nach. Neuneinhalb Monate später verstarb der Ehemann an einer kurz zuvor diagnostizierten, schweren Erkrankung. Auch wenn sich die Beschwerdeführerin zum Zeitpunkt des Todes ihres Ehemannes erst kurze Zeit in der Schweiz aufhielt und aus der Ehe keine Kinder hervorgegangen sind, stellen die Dauer der Beziehung zwischen den Ehegatten, die schwierigen Umstände, unter denen sie ihre Ehe anfänglich führen mussten, und das tragische Scheitern der gemeinsamen Lebenspläne durch den unerwarteten Tod des Ehemannes nach der Wohnsitznahme in der Schweiz Sachverhaltselemente dar, die in ihrer Gesamtheit geeignet sind, die Anforderungen an das Mass der persönlichen Betroffenheit zu senken (zur Auflösung der Ehe durch den Tod eines Ehegatten vgl. Urteile des Bundesverwaltungsgerichts C-6527/2007 vom 16. Juni 2009 E. 7.4, C-567/2006 vom 22. Juli 2008 E. 8.1., C-7331/2007 vom 9. Mai 2008 E. 8.1; ferner Botschaft zum Bundesgesetz über die Ausländerinnen und Ausländer vom 8. März 2002, BBl 2002 3754, die den Tod des Ehegatten als Beispiel für einen "wichtigen persönlichen Grund" nennt, der einen Anspruch auf Verlängerung der Aufenthaltsbewilligung nach Art. 50 Abs. 2 Bst. b AuG begründen kann).</w:t>
      </w:r>
    </w:p>
    <w:p>
      <w:r>
        <w:rPr>
          <w:b/>
        </w:rPr>
        <w:t>E. 7.5</w:t>
      </w:r>
    </w:p>
    <w:p>
      <w:r>
        <w:t>Auf dieser Grundlage ist anzuerkennen, dass es der unbescholtenen Beschwerdeführerin während ihres bald vierjährigen Aufenthaltes in der Schweiz in hohem Masse gelungen ist, sich in die schweizerischen Lebensverhältnisse einzugliedern. Die zahlreichen, teils sehr persönlichen und engagierten Interventionen Dritter zu Gunsten der Beschwerdeführerin zeigen, dass sie es bestens versteht, sich sozial zu vernetzen. Ihre sprachliche Kompetenz lässt mit dem erreichten Niveau C1 des gemeinsamen europäischen Referenzrahmens für Sprachen des Europarates kaum Wünsche offen. Im Vergleich dazu setzt Art. 62 Abs. 1 Bst. b VZAE für die vorzeitige Erteilung der Niederlassungsbewilligung wegen erfolgreicher Integration ein sprachliches Referenzniveau von lediglich A2 voraus (zum europäischen Referenzrahmen für Sprachen des Europarates vgl. http://www.coe.int/T/DG4/Portfolio/?L=E&amp;M=/main_pages/levels.html, besucht am 21. Mai 2010). Die wirtschaftliche Integration der Beschwerdeführerin ist ebenfalls nicht zu beanstanden. Sie ging stets einer Erwerbstätigkeit nach und stellte ein beträchtliches Mass an Initiative unter Beweis, was ihr ermöglichte, von allem Anfang an ein wirtschaftlich selbständiges Leben zu führen. Die unfreiwillige Aufgabe dieser Bande zur Schweiz kann zwar nicht als schlichtweg unzumutbar beurteilt werden. Es ist jedoch nicht daran zu zweifeln, dass sie einen erheblichen Eingriff in die Lebensverhältnisse der Beschwerdeführerin darstellen würde. Auf der anderen Seite ist nichts zu erkennen, was die mit 33 Jahren noch junge, gesunde und gut ausgebildete Beschwerdeführerin ernsthaft daran hindern könnte, sich in ihrer Heimat zu reintegrieren, wo sie die ersten 29 Lebensjahre verbracht hat und wo ihre Angehörigen leben. Gleichwohl wäre der Neuaufbau einer Existenz mit einigen Mühen verbunden. Die mit der erzwungenen Rückkehr in die Mongolei verbundene Beeinträchtigung ihrer Lebensverhältnisse muss die Beschwerdeführerin subjektiv umso härter treffen, als sie sich als unverschuldete Folge tragisch geschei-terter Lebenspläne darstellt.</w:t>
      </w:r>
    </w:p>
    <w:p>
      <w:r>
        <w:rPr>
          <w:b/>
        </w:rPr>
        <w:t>E. 7.6</w:t>
      </w:r>
    </w:p>
    <w:p>
      <w:r>
        <w:t>Unter Berücksichtigung der gesamten Umstände gelangt das Bundesverwaltungsgericht zum Ergebnis, dass eine Nichterneuerung der Aufenthaltsbewilligung in rechtserheblicher Weise in die persönlichen Verhältnisse der Beschwerdeführerin eingreift. Das öffentliche Inter-esse an der Durchsetzung der restriktiven Migrationspolitik - Personen aus dem Nicht-EFTA/EU-Raum betreffend - muss unter den gegebenen Umständen gegenüber dem Interesse der Beschwerdeführerin an einer weiteren ausländerrechtlichen Regelung ihres Aufenthaltes zurückstehen. Indem die angefochtene Verfügung dem öffentli-chen Interesse ein grösseres Gewicht beimisst, erweist sie sich als unverhältnismässig.</w:t>
      </w:r>
    </w:p>
    <w:p>
      <w:r>
        <w:rPr>
          <w:b/>
        </w:rPr>
        <w:t>E. 8</w:t>
      </w:r>
    </w:p>
    <w:p>
      <w:r>
        <w:t>Aus den vorstehenden Erwägungen ergibt sich, dass die angefochtene Verfügung Bundesrecht verletzt (Art. 49 Bst. a VwVG). Die Beschwerde ist deshalb gutzuheissen, die angefochtene Verfügung aufzuheben, und der Verlängerung der kantonalen Aufenthaltsbewilligung ist die Zustimmung zu erteilen.</w:t>
      </w:r>
    </w:p>
    <w:p>
      <w:r>
        <w:rPr>
          <w:b/>
        </w:rPr>
        <w:t>E. 9</w:t>
      </w:r>
    </w:p>
    <w:p>
      <w:r>
        <w:t>Bei diesem Ausgang des Verfahrens sind keine Verfahrenskosten aufzuerlegen (Art. 63 Abs. 1 und 2 VwVG), und der Beschwerdeführerin ist gestützt auf Art. 64 VwVG i.V.m. Art. 7 ff. des Reglements vom 21. Februar 2008 über die Kosten und Entschädigungen vor dem Bundesverwaltungsgericht (VGKE, SR 173.320.2) zu Lasten der Vorinstanz eine angemessene Parteientschädigung zuzusprechen. Bei der Bemessung der Parteientschädigung gilt es zu berücksichtigen, dass die Bemühungen des früheren, mit dem Ausländerrecht offensichtlich wenig vertrauten Rechtsvertreters als über weite Strecken unnötig beurteilt werden müssen und in diesem Umfang keinen Anspruch auf Kostenersatz vermitteln (Art. 8 Abs. 2 VGKE).</w:t>
      </w:r>
    </w:p>
    <w:p>
      <w:r>
        <w:rPr>
          <w:b/>
        </w:rPr>
        <w:t>E. 10</w:t>
      </w:r>
    </w:p>
    <w:p>
      <w:r>
        <w:t>Das vorliegende Urteil ist endgültig (Art. 83 Bst. c Ziff. 2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