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C-1780/2011 vom 18. Februar 2013</w:t>
      </w:r>
    </w:p>
    <w:p>
      <w:r>
        <w:t>Bundesverwaltungsgericht, 2013-02-18, DE</w:t>
      </w:r>
    </w:p>
    <w:p>
      <w:r>
        <w:rPr>
          <w:b/>
        </w:rPr>
        <w:t xml:space="preserve">Quelle: </w:t>
      </w:r>
      <w:r>
        <w:t>https://mcp.opencaselaw.ch/entscheid/bvger_C-1780_2011</w:t>
      </w:r>
    </w:p>
    <w:p>
      <w:r>
        <w:t>FR: TAF C-1780/2011 du 18 février 2013</w:t>
      </w:r>
    </w:p>
    <w:p>
      <w:r>
        <w:t>IT: TAF C-1780/2011 del 18 febbraio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Art. 48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 Als erste Voraussetzung nennt Art. 48 Abs. 1 Bst. a VwVG die sog. formelle Beschwer. Dies bedeutet, dass die beschwerdeführende Person am vorinstanzlichen Verfahren teilgenommen haben muss, soweit sie dazu in der Lage war, und mit ihren Anträgen ganz oder teilweise unterlegen sein muss (vgl. Vera Marantelli-Sonanini/Said Huber, in: Waldmann/Weissenberger [Hrsg.], Praxiskommentar VwVG, Zürich 2009, Art. 48 N 22; Isabelle Häner, in: Auer/Müller/Schindler [Hrsg.], Kommentar zum Bundesgesetz über das Verwaltungsverfahren [VwVG], Zürich 2008, Rz. 6 zu Art. 48). Ob diese Voraussetzung im vorliegenden Fall erfüllt ist, ist fraglich (vgl. das Urteil des Bundesverwaltungsgerichts C 6404/2011 vom 25. Mai 2012 E. 1.3): Die Einsprache wurde vom Gesuchsteller bei der Schweizer Vertretung eingereicht. Der Beschwerdeführer selber hat keine Einsprache gemacht. Allerdings war er insofern am Einspracheverfahren beteiligt, als er mittels dem ihm vom kantonalen Migrationsamt zugestellten Fragebogen bei der Sachverhaltsfeststellung mitwirkte. Darin erklärte er sinngemäss, man möge den Gesuchsteller in die Schweiz einreisen lassen, damit er sich für die im Kosovo genossene Gastfreundschaft revanchieren könne. Ob dies genügt, um von der formellen Beschwer auszugehen, kann jedoch angesichts des Ausgangs des Verfahrens und unter Berücksichtigung der Tatsache, dass die übrigen formellen Voraussetzungen erfüllt sind (vgl. Art. 48 Abs. 1 Bst. b und c VwVG, Art. 50 und 52 VwVG), offen gelassen werden. Überdies hat auch die Vorinstanz, indem sie den Einspracheentscheid einzig an den Beschwerdeführer adressiert hat und nicht etwa an den Einsprecher an der von ihm angegebenen Zustelladresse in der Schweiz (d.h. den Beschwerdeführer), dem Beschwerdeführer den Eindruck vermittelt, er sei ohne Weiteres zur Beschwerde berechtigt.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Die angefochtene Verfügung bezieht sich auf das Visumsgesuch eines kosovarischen Staatsangehörigen, der für zwei Wochen in die Schweiz und die umliegenden Länder kommen möchte (vgl. Einsprache vom 10. Januar 2011). Da sich dieser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aber die abweichende Auffassung von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1 - 32]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1 - 4]).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 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der Kosovo zu diesen Staaten zählt, unterliegt der Gesuchsteller der Visumspflicht.</w:t>
      </w:r>
    </w:p>
    <w:p>
      <w:r>
        <w:rPr>
          <w:b/>
        </w:rPr>
        <w:t>E. 6</w:t>
      </w:r>
    </w:p>
    <w:p>
      <w:r>
        <w:t>Im vorliegenden Fall hat die Vorinstanz bezweifelt, dass der Gesuchsteller die Schweiz bzw. den Schengen-Raum wieder anstandslos verlassen würde, und dies mit der allgemeinen Lage in seinem Heimatland und seinen persönlichen Verhältnissen begründet. Zu der somit im Vordergrund stehenden Frage der gesicherten Wiederausreise können jedoch lediglich Prognosen getroffen werden.</w:t>
      </w:r>
    </w:p>
    <w:p>
      <w:r>
        <w:rPr>
          <w:b/>
        </w:rPr>
        <w:t>E. 6.1</w:t>
      </w:r>
    </w:p>
    <w:p>
      <w:r>
        <w:t>Die Vorinstanz begründete ihren Einspracheentscheid einerseits mit der allgemeinen Lage im Kosovo: Dort herrschten schwierige wirtschaftliche Verhältnisse und als Folge davon hohe Arbeitslosigkeit, wodurch die Auswanderung gefördert werde. Bestehe zudem ein soziales oder familiäres Beziehungsnetz in der Schweiz, sei das Risiko einer nicht fristgerechten und anstandslosen Wiederausreise grundsätzlich als hoch anzusehen. Andererseits beruft sich die Vorinstanz auf die fehlenden beruflichen, familiären oder gesellschaftlichen Verpflichtungen des Gesuchstellers im Kosovo: Dieser sei jung, ledig, kinderlos und stehe in keinem festen Arbeitsverhältnis. Das vorgängig beschriebene Risiko der nicht anstandslosen Wiederausreise könne deshalb nicht als gering angesehen werden.</w:t>
      </w:r>
    </w:p>
    <w:p>
      <w:r>
        <w:rPr>
          <w:b/>
        </w:rPr>
        <w:t>E. 6.2</w:t>
      </w:r>
    </w:p>
    <w:p>
      <w:r>
        <w:t>Der Beschwerdeführer bestreitet die Sachverhaltsfeststellung der Vorinstanz bezüglich der allgemeinen Lage im Kosovo und der persönlichen Situation des Gesuchstellers nicht. Bis heute hat sich an der allgemeinen Situation im Kosovo nichts geändert (vgl. Urteil des Bundesverwaltungsgerichts C 1880/2012 vom 6. Juni 2012 E. 5.3 mit Hinweisen; s. auch: www.auswaertiges-amt.de Reise &amp; Sicherheit Reise- und Sicherheitshinweise: Länder A - Z Kosovo Wirtschaftspolitik. Stand September 2012, besucht am 22. Januar 2013). Ebenso ist davon auszugehen, dass sich auch in Bezug auf die persönliche Situation des Gesuchstellers inzwischen keine wesentlichen Änderungen ergeben haben, da der Beschwerdeführer keine entsprechende Mitteilung gemacht hat (vgl. zur Mitwirkungspflicht: Art. 13 VwVG).</w:t>
      </w:r>
    </w:p>
    <w:p>
      <w:r>
        <w:rPr>
          <w:b/>
        </w:rPr>
        <w:t>E. 6.3</w:t>
      </w:r>
    </w:p>
    <w:p>
      <w:r>
        <w:t>Der Beschwerdeführer macht in seiner Rechtsmitteleingabe denn auch lediglich geltend, er garantiere, dass die Ausreise aus der Schweiz fristgerecht erfolgen werde. Andernfalls würde er für das Verhalten des Gesuchstellers haften. Bei der Risikoanalyse bezüglich der Wiederausreise des Gesuchstellers stehen nicht die guten Absichten des Gastgebers an der Einhaltung der Vorschriften - an denen zu zweifeln kein Anlass besteht - im Zentrum, sondern vielmehr das aufgrund der Analyse der Gesamtumstände mögliche Verhalten des Gastes. Dieses kann vom Beschwerdeführer jedoch nur beschränkt beeinflusst werden. Mangels rechtlicher und faktischer Durchsetzbarkeit kann der Beschwerdeführer nicht für ein bestimmtes Verhalten des Gesuchstellers Garantie leisten, sondern nur für finanzielle Belange (BVGE 2009/27 E. 9). Das Fehlen einer der Einreisevoraussetzungen kann deshalb durch die Zusicherung des Beschwerdeführers, im Falle der nicht fristgerechten Wiederausreise für das Verhalten des Gesuchstellers zu haften, nicht kompensiert werden.</w:t>
      </w:r>
    </w:p>
    <w:p>
      <w:r>
        <w:rPr>
          <w:b/>
        </w:rPr>
        <w:t>E. 7</w:t>
      </w:r>
    </w:p>
    <w:p>
      <w:r>
        <w:t>Insgesamt ist somit mit der Vorinstanz davon auszugehen, dass die fristgerechte und anstandslose Wiederausreise angesichts der allgemeinen Lage im Kosovo und der persönlichen Situation des Gesuchstellers nicht als hinreichend gesichert anzusehen ist. Gründe, die es erlauben würden, ein Visum mit räumlich beschränkter Gültigkeit auszustellen (vgl. E. 4.5), werden vorliegend nicht geltend gemacht und sind auch aus den Akten nicht ersichtlich. Die Beschwerde ist daher abzuweisen.</w:t>
      </w:r>
    </w:p>
    <w:p>
      <w:r>
        <w:rPr>
          <w:b/>
        </w:rPr>
        <w:t>E. 8</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