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C-177/2006 vom 14. August 2007</w:t>
      </w:r>
    </w:p>
    <w:p>
      <w:r>
        <w:t>Bundesverwaltungsgericht, 2007-08-14, DE</w:t>
      </w:r>
    </w:p>
    <w:p>
      <w:r>
        <w:rPr>
          <w:b/>
        </w:rPr>
        <w:t xml:space="preserve">Quelle: </w:t>
      </w:r>
      <w:r>
        <w:t>https://mcp.opencaselaw.ch/entscheid/bvger_C-177_2006</w:t>
      </w:r>
    </w:p>
    <w:p>
      <w:r>
        <w:t>FR: TAF C-177/2006 du 14 août 2007</w:t>
      </w:r>
    </w:p>
    <w:p>
      <w:r>
        <w:t>IT: TAF C-177/2006 del 14 agosto 2007</w:t>
      </w:r>
    </w:p>
    <w:p>
      <w:pPr>
        <w:pStyle w:val="Heading2"/>
      </w:pPr>
      <w:r>
        <w:t>Regeste</w:t>
      </w:r>
    </w:p>
    <w:p>
      <w:r>
        <w:t>Einreise</w:t>
      </w:r>
    </w:p>
    <w:p>
      <w:pPr>
        <w:pStyle w:val="Heading2"/>
      </w:pPr>
      <w:r>
        <w:t>Erwägungen</w:t>
      </w:r>
    </w:p>
    <w:p>
      <w:r>
        <w:rPr>
          <w:b/>
        </w:rPr>
        <w:t>E. 1.1</w:t>
      </w:r>
    </w:p>
    <w:p>
      <w:r>
        <w:t>Verfügungen des Bundesamtes für Migration (BFM) betreffend Einreisesperre unterliegen der Beschwerde an das Bundesverwaltungsgericht (Art. 20 Abs. 1 ANAG i.V.m. Art. 31 und Art. 33 lit. d des Bundesgesetzes vom 17. Juni 2005 über das Bundesverwaltungsgericht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dieses Gesetz nichts anderes bestimmt. Das Bundesverwaltungsgericht entscheidet endgültig (Art. 1 Abs. 2 VGG i.V.m. Art. 83 lit. c Ziff. 1 des Bundesgesetzes vom 17. Juni 2005 über das Bundesgericht [BGG, SR 173.110]).</w:t>
      </w:r>
    </w:p>
    <w:p>
      <w:r>
        <w:rPr>
          <w:b/>
        </w:rPr>
        <w:t>E. 1.4</w:t>
      </w:r>
    </w:p>
    <w:p>
      <w:r>
        <w:t>Der Beschwerdeführer ist als Verfügungsadressat gemäss Art. 48 VwVG zur Beschwerdeführung legitimiert. Auf die frist- und formgerecht eingereichte Beschwerde ist daher einzutreten (Art. 49 ff. VwVG).</w:t>
      </w:r>
    </w:p>
    <w:p>
      <w:r>
        <w:rPr>
          <w:b/>
        </w:rPr>
        <w:t>E. 2</w:t>
      </w:r>
    </w:p>
    <w:p>
      <w:r>
        <w:t>Die eidgenössische Behörde kann, für höchstens drei Jahre, die Einreisesperre verhängen über Ausländer, die sich grobe oder mehrfache Zuwiderhandlungen gegen fremdenpolizeiliche oder andere gesetzliche Bestimmungen und gestützt darauf erlassene behördliche Verfügungen haben zuschulden kommen lassen. Während der Einreisesperre ist dem Ausländer jeder Grenzübertritt ohne ausdrückliche Ermächtigung der verfügenden Behörde untersagt (Art. 13 Abs. 1 Satz 2 und 3 ANAG). Gestützt auf die erwähnte gesetzliche Grundlage kann eine Fernhaltemassnahme verhängt werden, wenn der Ausländer objektiv gegen fremdenpolizeiliche Vorschriften verstossen hat und ihm sein Gesetzesverstoss zum Vorwurf gereicht. Als grob im Sinne von Artikel 13 Absatz 1 Satz 2 ANAG ist eine Zuwiderhandlung gegen fremdenpolizeiliche Bestimmungen - unabhängig vom Verschulden des Ausländers - immer dann zu qualifizieren, wenn sie zentrale, für das Funktionieren der fremdenpolizeilichen Ordnung wichtige Bereiche berührt.</w:t>
      </w:r>
    </w:p>
    <w:p>
      <w:r>
        <w:rPr>
          <w:b/>
        </w:rPr>
        <w:t>E. 3</w:t>
      </w:r>
    </w:p>
    <w:p>
      <w:r>
        <w:t>Ausländische Staatsangehörige sind zur Anwesenheit in der Schweiz berechtigt, wenn sie hierfür eine Bewilligung besitzen oder wenn sie keiner solchen bedürfen (Art. 1a ANAG). Der rechtmässig eingereiste Ausländer darf sich während der für ihn geltenden Anmeldefrist ohne besondere behördliche Bewilligung in der Schweiz aufhalten, ebenso nach richtig erfolgter Anmeldung bis zum Entscheid über das Gesuch um Erteilung einer Bewilligung. Vorbehalten bleiben die im Einzelfall getroffenen abweichenden Verfügungen der zuständigen Behörden (Art. 1 Abs. 1 der Vollziehungsverordnung vom 1. März 1949 zum Bundesgesetz über Aufenthalt und Niederlassung der Ausländer [ANAV, SR 142.201]). Die Einreise eines Ausländers ist dann rechtmässig, wenn die Vorschriften über den Besitz von Ausweisschriften, das Visum, die Grenzkontrolle usw., beobachtet worden sind und der Einreise kein persönliches Verbot, wie Ausweisung, Einreisesperre, Einreisebeschränkung entgegenstand (Art. 1 Abs. 2 ANAV). Zur Einreise bedarf ein Ausländer eines gültigen und anerkannten Passes. Abweichende Regelungen in bilateralen oder multilateralen Abkommen bleiben vorbehalten (Art. 2 der Verordnung vom 14. Januar 1998 über Einreise und Anmeldung von Ausländerinnen und Ausländern [VEA, SR 142.211]). Ferner benötigt er ein Visum, sofern er nicht von dieser Pflicht befreit ist (Art. 3 und 4 VEA).</w:t>
      </w:r>
    </w:p>
    <w:p>
      <w:r>
        <w:rPr>
          <w:b/>
        </w:rPr>
        <w:t>E. 4</w:t>
      </w:r>
    </w:p>
    <w:p>
      <w:r>
        <w:t>Für einen der in Art. 11 Abs. 1 VEA genannten Einreisezwecke benötigen unter anderem Inhaber eines gültigen Reisepasses der Vereinigten Arabischen Emirate kein Visum zur Einreise in die Schweiz, sofern sie schon über ein gültiges Schengenvisum verfügen (Art. 4 Abs. 2 lit. d VEA). Aus der entsprechenden Formulierung ergibt sich klar, dass nur Staatsbürger des betroffenen Staates, nicht aber dort aufenthaltsberechtigte Bürger eines Drittstaates von dieser Ausnahmeregelung erfasst sind.</w:t>
      </w:r>
    </w:p>
    <w:p>
      <w:r>
        <w:rPr>
          <w:b/>
        </w:rPr>
        <w:t>E. 5</w:t>
      </w:r>
    </w:p>
    <w:p>
      <w:r>
        <w:t>Der Beschwerdeführer ist indischer Staatsangehöriger und hat in den Vereinigten Arabischen Emiraten bloss Wohnsitz. Als solcher hätte er nach dem bisher Gesagten zur Einreise in die Schweiz ein entsprechendes schweizerisches Visum benötigt. Seine Einreise und der nachfolgende Aufenthalt ohne ein solches Visum waren illegal, was weiter auch nicht bestritten wird.</w:t>
      </w:r>
    </w:p>
    <w:p>
      <w:r>
        <w:rPr>
          <w:b/>
        </w:rPr>
        <w:t>E. 6.1</w:t>
      </w:r>
    </w:p>
    <w:p>
      <w:r>
        <w:t>Der Beschwerdeführer macht geltend, er habe die Informationen auf der Internetseite des Schweizerischen Generalkonsulats in Dubai so verstanden, dass für einen Aufenthalt in der Schweiz nicht nur Staatsbürger der Vereinigten Arabischen Emirate, sondern auch in diesem Land aufenthaltsberechtigte Bürger eines Drittstaates von der Visumspflicht ausgenommen seien, falls sie über ein Schengenvisum verfügen. Er beruft sich mit anderen Worten auf einen Rechtsirrtum.</w:t>
      </w:r>
    </w:p>
    <w:p>
      <w:r>
        <w:rPr>
          <w:b/>
        </w:rPr>
        <w:t>E. 6.2</w:t>
      </w:r>
    </w:p>
    <w:p>
      <w:r>
        <w:t>Der vom Beschwerdeführer edierte Auszug aus dem Internet kann (selbst wenn er von der Schweizerischen Vertretung in Dubai stammt, was aufgrund der vorgelegten Form nicht überprüft werden kann) nicht in seinem Sinne interpretiert werden. Der Informationstext spricht klar von "U.A.E. Nationals", nicht von Bürgern eines Drittstaates mit Aufenthaltsrecht in den Vereinigten Arabischen Emiraten (UAE).</w:t>
      </w:r>
    </w:p>
    <w:p>
      <w:r>
        <w:rPr>
          <w:b/>
        </w:rPr>
        <w:t>E. 6.3</w:t>
      </w:r>
    </w:p>
    <w:p>
      <w:r>
        <w:t>Für die Verhängung einer Einreisesperre ist ein vorsätzlicher Verstoss gegen fremdenpolizeiliche Bestimmungen nicht erforderlich. Es genügt, wenn dem Ausländer eine Zuwiderhandlung im Sinne einer Sorgfaltspflichtverletzung zugerechnet werden kann. Eine solche Zurechenbarkeit ist vorliegend offensichtlich gegeben. Denn vom Beschwerdeführer wäre zu erwarten gewesen, dass er sich die Richtigkeit seiner Annahme vom Schweizerischen Generalkonsulat in Dubai hätte bestätigen lassen. Dass dieser Weg gangbar gewesen wäre, bestätigt sein nachträgliches Schreiben vom 27. Juni 2006 an diese Vertretung, welches am 4. Juli 2006 und damit umgehend beantwortet wurde.</w:t>
      </w:r>
    </w:p>
    <w:p>
      <w:r>
        <w:rPr>
          <w:b/>
        </w:rPr>
        <w:t>E. 6.4</w:t>
      </w:r>
    </w:p>
    <w:p>
      <w:r>
        <w:t>Illegale Einreise und illegaler Aufenthalt haben schon deshalb als grobe Zuwiderhandlung im Sinne von Artikel 13 Absatz 1 Satz 2 ANAG zu gelten, weil die verletzten Bestimmungen von tragender Bedeutung für das Funktionieren der ausländerrechtlichen Ordnung sind. Mit seinem Verhalten hat der Beschwerdeführer demnach den Fernhaltegrund der groben Zuwiderhandlung gegen fremdenpolizeiliche Bestimmungen gesetzt.</w:t>
      </w:r>
    </w:p>
    <w:p>
      <w:r>
        <w:rPr>
          <w:b/>
        </w:rPr>
        <w:t>E. 7.1</w:t>
      </w:r>
    </w:p>
    <w:p>
      <w:r>
        <w:t>Es bleibt zu prüfen, ob die Einreisesperre dem Grundsatz nach sowie von ihrer Dauer her in richtiger Ausfüllung des Ermessens ergangen und angemessen ist. Massgebliche Gesichtspunkte sind dabei die Besonderheiten des ordnungswidrigen Verhaltens, die persönlichen Verhältnisse des Verfügungsbelasteten sowie die wertende Gewichtung der sich daraus ergebenden öffentlichen und privaten Interessen.</w:t>
      </w:r>
    </w:p>
    <w:p>
      <w:r>
        <w:rPr>
          <w:b/>
        </w:rPr>
        <w:t>E. 7.2</w:t>
      </w:r>
    </w:p>
    <w:p>
      <w:r>
        <w:t>An der Einhaltung der fremdenpolizeilichen Ordnung im Allgemeinen und der Einreisevorschriften im Besonderen besteht ein gewichtiges öffentliches Interesse. Die Einreisesperre wirkt hier einerseits generalpräventiv, indem sie andere Ausländerinnen und Ausländer angesichts der nachteiligen Folgen dazu anhält, sich an die Einreise- und Aufenthaltsvorschriften des Gastlandes zu halten. Andererseits ist eine spezialpräventive Zielsetzung der Massnahme darin zu sehen, dass sie die Betroffenen ermahnt, inskünftig den für sie geltenden Regeln nachzuleben. Eine konstante und konsequente Praxis der Verwaltungsbehörden ist unabdingbar, wenn es darum geht, der fremdenpolizeilichen Ordnung Nachachtung zu verschaffen. Im vorliegenden Fall besteht durchaus ein öffentliches Interesse an der Fernhaltung des Beschwerdeführers. Dieses wird jedoch durch mehrere Elemente relativiert: So hat der Beschwerdeführer nicht etwa vorsätzlich, sondern fahrlässig gehandelt, was auch vom Strafrichter entsprechend gewürdigt wurde (Verurteilung nicht gestützt auf Art. 23 Abs. 1, sondern gestützt auf Art. 23 Abs. 6 ANAG; vgl. dazu auch Valentin Roschacher, Die Strafbestimmungen des Bundesgesetzes über Aufenthalt und Niederlassung der Ausländer, Chur/Zürich 1991, S. 134). Selbst bei der dem Beschwerdeführer vorgeworfenen Fahrlässigkeit gilt zu berücksichtigen, dass er - wenn auch in ungenügender Weise - zumindest versucht hat, sich über die geltenden Vorschriften ins Bild zu setzen. Kommt hinzu, dass er sich nur gerade zwei Tage in der Schweiz aufgehalten hat und ihm - hätte er sich darum bemüht - mit grosser Wahrscheinlichkeit ein Visum zur Einreise erteilt worden wäre. Schliesslich gilt zu bedenken, dass der Beschwerdeführer aufgrund seiner Geschäftsbeziehungen mit Schweizer Unternehmen ein besonderes persönliches Interesse daran haben dürfte, auch in naher Zukunft ohne zusätzliche Restriktionen in die Schweiz einreisen zu können. Dass er die notwendigen Lehren aus dem Zwischenfall gezogen hat, ist nicht ernsthaft zu bezweifeln.</w:t>
      </w:r>
    </w:p>
    <w:p>
      <w:r>
        <w:rPr>
          <w:b/>
        </w:rPr>
        <w:t>E. 7.3</w:t>
      </w:r>
    </w:p>
    <w:p>
      <w:r>
        <w:t>Eine Abwägung der gegenläufigen Interessen führt zum Ergebnis, dass die Einreisesperre dem Grundsatz nach zu bestätigen ist. Angesichts der konkreten Umstände erscheint die Massnahme aber in der ausgesprochenen Dauer als hart und es kann davon ausgegangen werden, dass die erwünschte Wirkung mit der bisherigen Dauer erwirkt werden konnte. Es erscheint daher gerechtfertigt, die Massnahme auf den Zeitpunkt des vorliegenden Urteils zu befristen. In diesem Umfang liegt eine Verletzung von Bundesrecht vor (Art. 49 Bst. a VwVG) und ist die Beschwerde teilweise gutzuheissen.</w:t>
      </w:r>
    </w:p>
    <w:p>
      <w:r>
        <w:rPr>
          <w:b/>
        </w:rPr>
        <w:t>E. 8</w:t>
      </w:r>
    </w:p>
    <w:p>
      <w:r>
        <w:t>Entsprechend dem Ausgang des Verfahrens sind dem Beschwerdeführer Verfahrenskosten teilweise aufzuerlegen (Art. 63 Abs. 1 VwVG). In Anwendung von Art. 1, Art. 2 und Art. 3 lit. b des Reglements vom 11. Dezember 2006 über die Kosten und Entschädigungen vor dem Bundesverwaltungsgericht (VGKE, SR 173.320.2) sind sie auf Fr. 400.-- festzusetzen. Eine (reduzierte) Parteientschädigung ist nicht auszurichten, weil nicht davon auszugehen ist, die Beschwerdeführung sei mit verhältnismässig hohen Kosten verbunden gewesen (Art. 64 Abs. 1 VwVG sowie Art. 7 Abs. 4 VGKE). Dispositiv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