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C-1776/2013 vom 9. April 2014</w:t>
      </w:r>
    </w:p>
    <w:p>
      <w:r>
        <w:t>Bundesverwaltungsgericht, 2014-04-09, DE</w:t>
      </w:r>
    </w:p>
    <w:p>
      <w:r>
        <w:rPr>
          <w:b/>
        </w:rPr>
        <w:t xml:space="preserve">Quelle: </w:t>
      </w:r>
      <w:r>
        <w:t>https://mcp.opencaselaw.ch/entscheid/bvger_C-1776_2013</w:t>
      </w:r>
    </w:p>
    <w:p>
      <w:r>
        <w:t>FR: TAF C-1776/2013 du 9 avril 2014</w:t>
      </w:r>
    </w:p>
    <w:p>
      <w:r>
        <w:t>IT: TAF C-1776/2013 del 9 aprile 2014</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seine frist- und formgerecht erhobene Beschwerde ist einzutreten, soweit die Aufhebung der angefochtenen Verfügung bzw. die Zustimmung zur in Aussicht gestellten Verlängerung der kantonalen Aufenthaltsbewilligung beantragt wird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 und 2011/43 E. 6.2).</w:t>
      </w:r>
    </w:p>
    <w:p>
      <w:r>
        <w:rPr>
          <w:b/>
        </w:rPr>
        <w:t>E. 3.1</w:t>
      </w:r>
    </w:p>
    <w:p>
      <w:r>
        <w:t>Gemäss Art. 43 Abs. 1 AuG haben ausländische Ehegatten von Personen mit Niederlassungsbewilligung, wenn sie mit diesen zusammenwohnen, Anspruch auf Erteilung und Verlängerung der Aufenthaltsbewilligung und - nach einem ordnungsgemässen und ununterbrochenen Aufenthalt von fünf Jahren - Anspruch auf Erteilung einer Niederlassungsbewilligung (Art. 43 Abs. 2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Ansprüche nach Art. 50 AuG erlöschen u.a. dann, wenn Widerrufsgründe nach Art. 62 AuG vorliegen (Art. 51 Abs. 2 Bst. b AuG).</w:t>
      </w:r>
    </w:p>
    <w:p>
      <w:r>
        <w:rPr>
          <w:b/>
        </w:rPr>
        <w:t>E. 3.2</w:t>
      </w:r>
    </w:p>
    <w:p>
      <w:r>
        <w:t>Die Kantone sind gemäss Art. 40 AuG zuständig für die Erteilung und Verlängerung von Bewilligungen, wobei die Zuständigkeit des Bundes u.a. für das Zustimmungsverfahren nach Art. 99 AuG vorbehalten bleibt. Dieser Bestimmung zufolge legt der Bundesrat fest, in welchen Fällen Kurzaufenthalts-, Aufenthalts- und Niederlassungsbewilligungen sowie kantonale arbeitsmarktliche Vorentscheide dem Bundesamt zur Zustimmung zu unterbreiten sind. Gestützt auf Art. 99 AuG hat der Bundesrat dem BFM in Art. 85 Abs. 1 der Verordnung vom 24. Oktober 2007 über Zulassung, Aufenthalt und Erwerbstätigkeit (VZAE, SR 142.201) die Zuständigkeit für die Zustimmung zur Erteilung der Kurzaufenthalts-, Aufenthalts- und Niederlassungsbewilligung sowie zur Verlängerung der Aufenthaltsbewilligung übertragen, u.a. auch für die Fälle, in denen "es ein Zustimmungsverfahren zur Koordination der Praxis im Rahmen des Gesetzesvollzugs für bestimmte Personen- und Gesuchskategorien als notwendig erachtet" (Art. 85 Abs. 1 Bst. a VZAE). Die hierdurch erhaltene Kompetenz hat das BFM in seinen Weisungen zum Ausländerbereich (nachfolgend: Weisungen) präzisiert (Quelle: www.bfm.ch &gt; Dokumentation &gt; Rechtliche Grundlagen &gt; Weisungen und Kreisschreiben &gt; I. Ausländerbereich &gt; 1. Verfahren und Zuständigkeiten [Stand: 25. Oktober 2013]).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4</w:t>
      </w:r>
    </w:p>
    <w:p>
      <w:r>
        <w:t>A._______ verfügt seit dem 11. Januar 2008 über eine Aufenthaltsbewilligung, die ihm aufgrund von Eheschliessung und Familiennachzug erteilt wurde. Er und seine Ehefrau trafen am 11. Juli 2012 eine gerichtlich genehmigte Vereinbarung, der zufolge sie seit dem 13. Juni 2012 getrennt leben. Zur Wiederaufnahme der ehelichen Gemeinschaft kam es danach nicht mehr. Der Beschwerdeführer hat somit den auf Art. 43 Abs. 1 AuG gestützten Anspruch auf Verlängerung seiner Aufenthaltsbewilligung verloren. Ein entsprechender nachehelicher Anspruch liesse sich aus Art. 50 Abs. 1 Bst. a oder b AuG herleiten. Bejahendenfalls hätte dann das BFM die Zustimmung zur Verlängerung der Bewilligung zu erteilen.</w:t>
      </w:r>
    </w:p>
    <w:p>
      <w:r>
        <w:rPr>
          <w:b/>
        </w:rPr>
        <w:t>E. 5</w:t>
      </w:r>
    </w:p>
    <w:p>
      <w:r>
        <w:t>Die zuständige Migrationsbehörde des Kantons und die Vorinstanz sind zutreffend von einer mehr als drei Jahre dauernden ehelichen Gemeinschaft des Beschwerdeführers ausgegangen. Damit ist eine der in Art. 50 Abs. 1 Bst. a AuG genannten Voraussetzungen gegeben. Fraglich ist, ob auch die weitere Voraussetzung der erfolgreichen Integration vorliegt. Hiervon ist dann auszugehen, wenn die ausländische Person die rechtsstaatliche Ordnung und die Werte der Bundesverfassung respektiert sowie den Willen zur Teilnahme am Berufsleben und zum Erwerb der am Wohnort gesprochenen Sprache bekundet (vgl. Art. 77 Abs. 4 VZAE). Wirtschaftliche Unabhängigkeit bzw. die Möglichkeit, für den eigenen Lebensunterhalt aufzukommen, gehören ebenfalls dazu.</w:t>
      </w:r>
    </w:p>
    <w:p>
      <w:r>
        <w:rPr>
          <w:b/>
        </w:rPr>
        <w:t>E. 5.1</w:t>
      </w:r>
    </w:p>
    <w:p>
      <w:r>
        <w:t>Die Vorinstanz hat ausdrücklich offen gelassen, ob im Verhalten des Beschwerdeführers Widerrufsgründe nach Art. 62 Bst. c AuG erblickt werden könnten. Sie hat indessen die erfolgreiche Integration des Beschwerdeführers unter Hinweis auf das von seiner Ehefrau eingeleitete Eheschutzverfahren - insbesondere die superprovisorische Verfügung vom 14. Juni 2012 - verneint. Der Begründung ihres Entscheids ist zu entnehmen, dass sie die in jenem Verfahren von B._______ gegenüber ihrem Ehemann erhobenen Vorwürfe als erwiesene Tatsachen betrachtet, weil diese Vorwürfe Grundlage der superprovisorischen Verfügung waren. Eine solche Schlussfolgerung ist jedoch nicht ohne Weiteres zulässig.</w:t>
      </w:r>
    </w:p>
    <w:p>
      <w:r>
        <w:rPr>
          <w:b/>
        </w:rPr>
        <w:t>E. 5.1.1</w:t>
      </w:r>
    </w:p>
    <w:p>
      <w:r>
        <w:t>Art. 261 ff. der Zivilprozessordnung vom 19. Dezember 2008 (ZPO, SR 272) regeln die Anordnung vorsorglicher Massnahmen. Gemäss Art. 261 Abs. 1 ZPO trifft das Gericht die notwendigen vorsorglichen Massnahmen, wenn die gesuchstellende Person glaubhaft macht, dass ein ihr zustehender Anspruch verletzt ist oder eine Verletzung zu befürchten ist und ihr aus der Verletzung ein nicht leicht wieder gutzumachender Nachteil droht. Bei besonderer Dringlichkeit, insbesondere bei Vereitelungsgefahr, können gemäss Art. 265 Abs. 1 ZPO derartige Massnahmen sofort und ohne vorherige Anhörung der Gegenpartei angeordnet werden (superprovisorische Massnahmen). Auf dieser gesetzlichen Grundlage beruht auch die Verfügung des Regionalgerichts Berner Jura - Seeland vom 14. Juni 2012. Explizit wurde dabei ausgeführt, dass eine entsprechende Gefahr lediglich glaubhaft gemacht werden, d.h. für diese nicht der volle Beweis erbracht werden müsse. Vielmehr sei es genügend, aber auch erforderlich, wenn für das Vorhandensein der in Frage stehenden Tatsache eine gewisse Wahrscheinlichkeit spreche, auch wenn noch mit der Möglichkeit zu rechnen sei, dass sie sich nicht verwirklicht haben könnte (vgl. Verfügung E. 6). Vorliegend habe die Gesuchstellerin glaubhaft dargelegt, dass ihr Ehemann ihr gegenüber regelmässig Repressionshandlungen vornehme und auch in der Öffentlichkeit nicht davor zurückschrecke, Drohungen auszustossen. Ihre psychischen und physischen Belastungen hätten offenbar ein solches Ausmass erreicht, dass sie sich in ärztliche Behandlung habe begeben müssen, was durch ein entsprechendes Arztzeugnis belegt worden sei. Ihr könne unter diesen Voraussetzungen nicht zugemutet werden, die auf den 11. Juli 2012 angesetzte Eheschutzverhandlung abzuwarten (vgl. Verfügung E. 8).</w:t>
      </w:r>
    </w:p>
    <w:p>
      <w:r>
        <w:rPr>
          <w:b/>
        </w:rPr>
        <w:t>E. 5.1.2</w:t>
      </w:r>
    </w:p>
    <w:p>
      <w:r>
        <w:t>Die Ausführungen der superprovisorischen Verfügung lassen folglich nur darauf schliessen, dass die Behauptung einer vom Beschwerdeführer ausgehenden Gefahr vom Gericht für glaubhaft erachtet wurde, nicht aber, dass eine solche Gefahr tatsächlich real gewesen wäre.</w:t>
      </w:r>
    </w:p>
    <w:p>
      <w:r>
        <w:rPr>
          <w:b/>
        </w:rPr>
        <w:t>E. 5.1.3</w:t>
      </w:r>
    </w:p>
    <w:p>
      <w:r>
        <w:t>Es stellt sich demnach die Frage, ob es für die Vorinstanz im Umfeld des Eheschutzverfahrens sonstige Anhaltspunkte gab, die ihr erlaubt hätten, auf die fehlende Integration des Beschwerdeführers zu schliessen. Was das ihm zur Last gelegte Verhalten in seiner Ehe angeht, so sind die hierzu aufgestellten Behauptungen der Ehefrau jedoch weder konkret noch eindeutig. Ihr Gesuch um Erlass superprovisorischer Massnahmen vom 13. Juni 2012 befindet sich zwar nicht bei den vorinstanzlichen Akten; dessen Begründung scheint jedoch in der Verfügung des Regionalgerichts vom 14. Juni 2012, soweit sie entscheidserheblich war, wörtlich wiedergegeben zu sein (vgl. oben E. 5.1.1). Im zuvor eingereichten Gesuch um Anordnung von Eheschutzmassnahmen vom 12. April 2012 hatte B._______ geltend gemacht, das eheliche Zusammenleben habe sich von Anfang an als sehr schwierig erwiesen. Sie fühle sich seit längerer Zeit von ihrem Ehemann "sowohl physisch als auch psychisch unter Druck gesetzt". Dieser habe begonnen, ihre Briefpost systematisch zu kontrollieren und ihr vorzuenthalten; er schrecke auch vor mündlich ausgesprochenen, allerdings sehr allgemein gehaltenen Drohungen nicht zurück. Derartige Vorbringen der Ehefrau, zwar zweckdienlich im Eheschutzverfahren, sind jedoch nicht per se geeignet, um mit der Vorinstanz auf vom Beschwerdeführer ausgeübte eheliche Gewalt (im Sinne der Rechtsprechung) und dessen fehlende Integration schliessen zu können. Wohl weisen sie auf heftige Auseinandersetzungen im Rahmen eines ehelichen Konfliktes hin. Das Vorgefallene lässt sich jedoch weder zeitlich noch hinsichtlich Art und Intensität genau einordnen. Hierzu bedürfte es weiterer Beweismassnahmen wie Anhörung des Beschwerdeführers oder Zeugeneinvernahme der Ehefrau. Es ist insbesondere auch nicht ersichtlich, dass B._______ gegen ihren Ehemann Strafanzeige erstattet hätte oder dass sonst wie gegen ihn ein Ermittlungsverfahren eingeleitet worden wäre. Selbst bei einfacher Körperverletzung, wiederholten Tätlichkeiten oder im Falle von Drohungen hätte es sich bei der hier vorliegenden ehelichen Konstellation, wie von Seiten des Beschwerdeführers zu recht eingewendet wird, um Offizialdelikte gehandelt.</w:t>
      </w:r>
    </w:p>
    <w:p>
      <w:r>
        <w:rPr>
          <w:b/>
        </w:rPr>
        <w:t>E. 5.2</w:t>
      </w:r>
    </w:p>
    <w:p>
      <w:r>
        <w:t>Eine andere Schlussfolgerung lässt auch das an die Migrationsbehörde der Stadt Biel gerichtete Schreiben der Ehefrau vom 9. Januar 2013 nicht zu. Diese hat dort ihrer Überzeugung Ausdruck verliehen, ihr Ehemann habe sie nur geheiratet, um eine Aufenthaltsbewilligung zu erlangen. Sie sei in psychologischer Behandlung, weil er sie "physisch und psychisch kaputt gemacht" und damit gedroht habe, sie und ihre Familie müssten im Fall einer Scheidung an ihn "eine Menge Geld zahlen". Ob und inwieweit diese Beschuldigungen zutreffen, kann nicht festgestellt werden. Vor dem Hintergrund, dass diese allgemein gehalten sind, strafrechtlich bisher nicht relevant waren und zu keinen Beweiserhebungen seitens der kantonalen Behörde Anlass gaben, lässt sich hieraus zum Nachteil des Beschwerdeführers nicht genügend Konkretes ableiten.</w:t>
      </w:r>
    </w:p>
    <w:p>
      <w:r>
        <w:rPr>
          <w:b/>
        </w:rPr>
        <w:t>E. 5.3</w:t>
      </w:r>
    </w:p>
    <w:p>
      <w:r>
        <w:t>Abgesehen von der Bedeutung, welche sie dem Eheschutzverfahren beimisst, hat die Vorinstanz in ihrer Verfügung ausgeführt, der Beschwerdeführer sei "heute erwerbstätig und finanziell unabhängig" und möge auch beruflich integriert sein. Sie hat ihm ebenfalls zugutegehalten, dass er sich um ein Kennenlernen der Schweiz bemühe und sich Deutschkenntnisse angeeignet habe. Mit der Wahl dieser Formulierungen hat die Vorinstanz angedeutet, dass gewisse Aspekte durchaus für eine Integration sprechen würden. Angesichts der ihrer Meinung nach bereits aus anderen Gründen zu verneinenden Integration des Beschwerdeführers hat sie diese Anhaltspunkte jedoch nicht näher abgeklärt. Ob diesem eine erfolgreiche Integration gelungen ist, kann daher an dieser Stelle nicht beantwortet werden. Festzuhalten ist immerhin, dass die Vorinstanz eine ungenügende Integration des Beschwerdeführers nicht allein mit dem gegen ihn ergangen Strafbefehl der Staatsanwaltschaft des Kantons Bern vom 16. März 2012 begründen kann. Die diesem Entscheid zugrunde liegende Verfehlung, eine einfache Verletzung der Verkehrsregeln mit einer daraus resultierenden Busse von Fr. 200.-, ist dafür zu geringfügig.</w:t>
      </w:r>
    </w:p>
    <w:p>
      <w:r>
        <w:rPr>
          <w:b/>
        </w:rPr>
        <w:t>E. 6</w:t>
      </w:r>
    </w:p>
    <w:p>
      <w:r>
        <w:t>Zusammenfassend ist festzuhalten, dass der rechtserhebliche Sachverhalt nicht erstellt ist. Zu Unrecht hat die Vorinstanz lediglich aufgrund der Ergebnisse des Eheschutzverfahrens und aufgrund des am 16. März 2012 ergangenen Strafbefehls die erfolgreiche Integration des Beschwerdeführers verneint. Andererseits geben die Akten keinen Aufschluss darüber, ob die hierzu erforderlichen Voraussetzungen ansonsten erfüllt wären.</w:t>
      </w:r>
    </w:p>
    <w:p>
      <w:r>
        <w:rPr>
          <w:b/>
        </w:rPr>
        <w:t>E. 7</w:t>
      </w:r>
    </w:p>
    <w:p>
      <w:r>
        <w:t>Aus den vorstehenden Erwägungen ergibt sich, dass die angefochtene Verfügung Bundesrecht verletzt (vgl. Art. 49 Bst. b VwVG). Die Beschwerde ist daher gutzuheissen und die angefochtene Verfügung aufzuheben. Die Sache ist zu weiteren Abklärungen und zu neuem Entscheid im Sinne der Erwägungen an die Vorinstanz zurückzuweisen.</w:t>
      </w:r>
    </w:p>
    <w:p>
      <w:r>
        <w:rPr>
          <w:b/>
        </w:rPr>
        <w:t>E. 8</w:t>
      </w:r>
    </w:p>
    <w:p>
      <w:r>
        <w:t>Bei diesem Verfahrensausgang sind keine Kosten aufzuerlegen (Art. 63 Abs. 1 und 2 VwVG). Der vom Beschwerdeführer geleistete Kostenvorschuss ist zurückzuerstatten.</w:t>
      </w:r>
    </w:p>
    <w:p>
      <w:r>
        <w:rPr>
          <w:b/>
        </w:rPr>
        <w:t>E. 9</w:t>
      </w:r>
    </w:p>
    <w:p>
      <w:r>
        <w:t>Für die ihm im Verfahren vor dem Bundesverwaltungsgericht erwachsenen notwendigen Kosten ist dem Beschwerdeführer eine angemessene Parteientschädigung zuzusprechen (Art. 64 Abs. 1 VwVG). Diese ist in Anwendung von Art. 7 ff. des Reglements vom 21. Februar 2008 über die Kosten und Entschädigungen vor dem Bundesverwaltungsgericht (VGKE, SR 173.320.2) und unter Berücksichtigung der Kostennote vom 5. Juni 2013 auf Fr. 3'000.- (inkl.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