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C-1768/2015 vom 12. April 2016</w:t>
      </w:r>
    </w:p>
    <w:p>
      <w:r>
        <w:t>Bundesverwaltungsgericht, 2016-04-12, DE</w:t>
      </w:r>
    </w:p>
    <w:p>
      <w:r>
        <w:rPr>
          <w:b/>
        </w:rPr>
        <w:t xml:space="preserve">Quelle: </w:t>
      </w:r>
      <w:r>
        <w:t>https://mcp.opencaselaw.ch/entscheid/bvger_C-1768_2015</w:t>
      </w:r>
    </w:p>
    <w:p>
      <w:r>
        <w:t>FR: TAF C-1768/2015 du 12 avril 2016</w:t>
      </w:r>
    </w:p>
    <w:p>
      <w:r>
        <w:t>IT: TAF C-1768/2015 del 12 aprile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16. Februar 2015 (act. 144) ist der Beschwerdeführer berührt und hat ein schutzwürdiges Interesse an deren Aufhebung oder Änderung (vgl. Art. 59 ATSG). Nachdem auch der Kostenvorschuss von Fr. 400.- fristgerecht geleistet wurde,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bildet die Verfügung vom 16. Februar 2015, mit welcher die Vorinstanz die seit 1. Juli 1996 ausgerichtete Rente des Beschwerdeführers per Ende März 2015 aufgehoben hat.</w:t>
      </w:r>
    </w:p>
    <w:p>
      <w:r>
        <w:rPr>
          <w:b/>
        </w:rPr>
        <w:t>E. 1.4.2</w:t>
      </w:r>
    </w:p>
    <w:p>
      <w:r>
        <w:t>Beschwerdeweise wurde in materieller Hinsicht insbesondere beantragt, es seien die Verfügung vom 16. Februar 2015 aufzuheben und weiterhin die bisherigen Rentenleistungen auszurichten; eventualiter sei eine polydisziplinäre Begutachtung in Auftrag zu geben. Aufgrund dieser Rechtsbegehren ist streitig und zu prüfen, ob die Vorinstanz die IV-Rente des Beschwerdeführers zu Recht per Ende März 2015 aufgehoben hat und diesem Zusammenhang insbesondere, ob sie den Sachverhalt in beruflich-erwerblicher und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Schweizer Staatsbürgerschaft und wohnt in Chile, so dass vorliegend grundsätzlich das schweizerische Recht anwendbar ist.</w:t>
      </w:r>
    </w:p>
    <w:p>
      <w:r>
        <w:rPr>
          <w:b/>
        </w:rPr>
        <w:t>E. 2.2</w:t>
      </w:r>
    </w:p>
    <w:p>
      <w:r>
        <w:t>Im vorliegenden Verfahren finden grundsätzlich jene Vorschriften Anwendung, die im Zeitpunkt des Erlasses der angefochtenen Verfügung vom 16. Februar 2015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Verordnung vom 17. Januar 1961 über die Invalidenversicherung [IVV, SR 831.201] in der entsprechenden Fassung der 5. IV-Revision [AS 2007 5155]). Mit Blick auf das Datum der angefochtenen Verfügung (16. Februar 2015) gelangen ebenfalls die Normen des vom Bundesrat auf den 1. Januar 2012 in Kraft gesetzten ersten Teils der 6. IV-Revision (IV-Revision 6a) zur Anwendung.</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(vgl. Art. 5 Abs. 2 des am 20. Juni 1996 abgeschlossenen und am 1. März 1998 in Kraft getretenen Abkommens zwischen der Schweizerischen Eidgenossenschaft und der Republik Chile über Soziale Sicherheit [SR 0.831.109.245.1]). Nach der Rechtsprechung des Eidgenössischen Versicherungsgerichts (EVG; seit 1. Januar 2007: BGer) stellt diese Regelung nicht eine blosse Auszahlungsvorschrift, sondern eine besondere Anspruchsvoraussetzung dar (BGE 121 V 275 E. 6c).</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Mit Blick auf den - vom Versicherungsgericht des Kantons Aargau mit Urteil vom 21. Februar 2001 (Suva-act. 2 bis 23) bestätigten - Einspracheentscheid der Suva vom 22. Juli 1999 (Suva-act. 33 bis 40) sowie der nach Durchführung einer Revision mit Schreiben vom 25. April 2003 bestätigten Suva-Rente (act. 29)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Revisionsverfügung vom 16. Februar 2015 grundsätzlich nicht an die von der Suva vorgenommene Invaliditätsbemessung gebunden.</w:t>
      </w:r>
    </w:p>
    <w:p>
      <w:r>
        <w:rPr>
          <w:b/>
        </w:rPr>
        <w:t>E. 4.1</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Das Bundesgericht hat im Urteil 9C_46/2009 inzwischen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Bundesgerichts 9C_771/2009 vom 10. September 2010 E. 2.2 mit Hinweisen).</w:t>
      </w:r>
    </w:p>
    <w:p>
      <w:r>
        <w:rPr>
          <w:b/>
        </w:rPr>
        <w:t>E. 4.2</w:t>
      </w:r>
    </w:p>
    <w:p>
      <w:r>
        <w:t>Die ursprüngliche, mit rechtskräftigem Beschluss der IV-Stelle AG vom 8. Mai 2000 (IV-act. 62) zugesprochene abgestufte IV-Rente erfolgte gestützt auf eine umfassende materielle Anspruchsprüfung resp. in Abstimmung mit den umfassenden Abklärungsergebnissen der Suva (vgl. Bst. A. hiervor). Im Jahr 2002 überprüfte die IVSTA den IV-Grad und bestätigte diesen mit formloser, vom Beschwerdeführer nicht beanstandeter Mitteilung vom 6. September 2002 (act. 25). Die vor deren Erlass eingeholten Arztberichte auf den Fachgebieten der Ophthalmologie, Neurologie und Gastroenterologie fielen kurz aus (act. 22). Nachdem die IVSTA am 10. November 2004 einen Beschluss erlassen hatte bzw. die Rente aufgrund einer Gesetzesrevision abgeändert worden war (act. 42 bis 44, 50 und 51), erliess sie am 9. Juli 2008 eine weitere formlose Mitteilung, mit welcher sie den Versicherten über den unverändert gebliebenen Rentenanspruch in Kenntnis setzte (act. 64). Diese Mitteilung wurde insbesondere gestützt auf einen Bericht des Ophthalmologen vom 17. April 2008 (act. 57) resp. einer Kurzstellungnahme des IV-internen medizinischen Dienstes vom 2. Juli 2008 (act. 63) erlassen. Mit Blick auf den Umfang der jeweiligen ärztlichen Beurteilungen sowie des Umstands, dass der Mitteilung vom 9. Juli 2008 kein neurologischer, sondern bloss ein ophthalmologischer Bericht und eine sehr knappe Beurteilung des IV-internen Dienstes zu Grunde lagen, erscheint es vorliegend mit Blick auf BGE 133 V 108 E. 5.4 (vgl. E. 4.1 hiervor) gerechtfertigt, hinsichtlich des Referenzzeitpunkts auf den ursprünglichen Beschluss vom 8. Mai 2000 abzustellen. Im Folgenden ist somit zu prüfen, ob sich der Gesundheitszustand des Beschwerdeführers im Zeitraum vom 8. Mai 2000 bis zum Erlass der angefochtenen Verfügung am 16. Februar 2015 in rentenrelevanter Weise verbessert hat.</w:t>
      </w:r>
    </w:p>
    <w:p>
      <w:r>
        <w:rPr>
          <w:b/>
        </w:rPr>
        <w:t>E. 5.1</w:t>
      </w:r>
    </w:p>
    <w:p>
      <w:r>
        <w:t>Die ursprüngliche Rentenzusprache beruhte unter anderem auf folgenden Berichten: Im Bericht der E._______ vom 9. Juni 1998 wurden ein Status nach Polytrauma mit stumpfem Schädel-/Hirntrauma sowie eine persistierende Diplopie im Anschluss an das Polytrauma bei Strabismus konvergens konkomittans alternans diagnostiziert. Weiter wurde berichtet, es bestünden keine weiteren Therapiemöglichkeiten (Suva-act. 104). Im Austrittsbericht der C._______ vom 22. Juni 1998 wurden die Diagnosen einer leichten traumatischen Hirnverletzung mit retro- und anterograder Amnesie von mindestens 4 Tagen, einer Zahnfraktur, einer zweitgradig offenen Femurschaftsfraktur links sowie eines Status nach Handgelenkskontusion und Radiusköpfchenmeisselfraktur rechts gestellt. Weiter wurde zusammengefasst ausgeführt, die seitens der Suva attestierte Arbeitsfähigkeit von 50 % oder gar höher möge rein unfallkausal stimmen. Werde jedoch die Gesamtsituation betrachtet, liege die effektiv umgesetzte Arbeitsleistung eher darunter. Dass die 50%ige Arbeitsfähigkeit überhaupt praktisch umgesetzt werden könne, sei dem Umstand zu verdanken, dass der Versicherte bei seinem Vater in dessen Betrieb eine Anstellung habe. Sein Arbeitsplatz sei in Chile, und wahrscheinlich würde er bei "unserem" Arbeitsrhythmus keine entsprechende Arbeitsfähigkeit realisieren können. Bald zwei Jahre nach dem Autounfall leide der Versicherte persistierend an unkorrigierbaren Doppelbildern, chronischen, belastungsabhängigen Kopfschmerzen und den Symptomen einer leichten organischen neuropsychologischen Funktionsstörung mit reduzierter Leistung inklusive Konzentrationsstörungen (Suva-act. 74 bis 81).</w:t>
      </w:r>
    </w:p>
    <w:p>
      <w:r>
        <w:rPr>
          <w:b/>
        </w:rPr>
        <w:t>E. 5.2</w:t>
      </w:r>
    </w:p>
    <w:p>
      <w:r>
        <w:t>Im Rahmen der vorliegend angefochtenen Verfügung vom 16. Februar 2015 stützte sich die Vorinstanz insbesondere auf die Stellungnahmen von Dr. med. D._______ vom 13. August und 16. September 2014 (act. 120 und 132).</w:t>
      </w:r>
    </w:p>
    <w:p>
      <w:r>
        <w:rPr>
          <w:b/>
        </w:rPr>
        <w:t>E. 5.2.1</w:t>
      </w:r>
    </w:p>
    <w:p>
      <w:r>
        <w:t>Im August 2014 erwähnte Dr. med. D._______ als Hauptdiagnose einen Status nach dem Unfall vom 19. Juli 1995 sowie mit Auswirkungen auf die Arbeitsfähigkeit Zustände nach einer offenen Femurfraktur links und einer Handgelenkskontusion und Radiusfraktur rechts. Sie attestierte dem Versicherten seit 2007 keine Arbeitsunfähigkeiten mehr und berichtete weiter, aufgrund des Berichts vom 25. März 2014 (act. 117) sei der Gesundheitszustand stabil geblieben. Die Konzentrationsprobleme seien geringer geworden. Diese hätten nicht verhindert, dass der Versicherte Studien gemacht und diese abgeschlossen habe. Dieser führe und verwalte sein eigenes Geschäft. In diesem Kontext sei von einer Verbesserung und einer Arbeitsfähigkeit seit mindestens 2007 in der Tätigkeit als "Geschäftsleiter" auszugehen.</w:t>
      </w:r>
    </w:p>
    <w:p>
      <w:r>
        <w:rPr>
          <w:b/>
        </w:rPr>
        <w:t>E. 5.2.2</w:t>
      </w:r>
    </w:p>
    <w:p>
      <w:r>
        <w:t>In ihrer Beurteilung vom 16. September 2014 war Dr. med. D._______ der Auffassung, die neu eingereichten medizinischen Akten vermöchten die Schlussfolgerungen im Bericht vom 13. August 2014 nicht zu ändern.</w:t>
      </w:r>
    </w:p>
    <w:p>
      <w:r>
        <w:rPr>
          <w:b/>
        </w:rPr>
        <w:t>E. 5.3.1</w:t>
      </w:r>
    </w:p>
    <w:p>
      <w:r>
        <w:t>Bei den Stellungnahmen der IV-Stellenärztin Dr. med. D._______, Fachärztin für Allgemeinmedizin und Physikalische Medizin und Rehabilitation, vom 13. August und 16. September 2014 handelt es sich um reine Aktenberichte im Sinne von Art. 59 Abs. 2bis IVG (vgl. zum Sinn und Zweck dieser gesetzlichen Norm sowie zu Art. 49 IVV Urteil des BGer 9C_323/2009 vom 14. Juli 2009 E. 4.2 mit zahlreichen weiteren Hinweisen). Diesen Berichten kann nicht jegliche Aussen- oder Beweiswirkung abgesprochen werden. Vielmehr sind sie entscheidrelevante Aktenstücke (Urteil I 143/07 des BGer vom 14. September 2007 E. 3.3 mit Hinweisen; vgl. auch Urteil I 694/05 des EVG vom 15. Dezember 2006 E. 5).</w:t>
      </w:r>
    </w:p>
    <w:p>
      <w:r>
        <w:rPr>
          <w:b/>
        </w:rPr>
        <w:t>E. 5.3.2</w:t>
      </w:r>
    </w:p>
    <w:p>
      <w:r>
        <w:t>Gemäss den Ausführungen von Dr. med. D._______ manifestierte sich die Verringerung der Konzentrationsprobleme resp. die Verbesserung des Gesundheitszustands des Beschwerdeführers insbesondere im Umstand, dass er seine Studien gemäss ihrer Auflistung hatte abschliessen können. Mit Blick auf die Referenzzeitpunkte vom 8. Mai 2000 und 16. Februar 2015 (vgl. E. 4.2 hiervor) ist diese Beurteilung unter den Aspekten, dass retrospektive Beurteilungen der Arbeits(un)fähigkeit den diesbezüglich erhöhten Ansprüchen genügen müssen (vgl. hierzu Urteil des EVG I 200/03 vom 26. Juli 2004 E. 4.5) und Dr. med. D._______ unter anderem Fachärztin für Physikalische Medizin und Rehabilitation und nicht für Ophthalmologie, Neurologie und/oder Neuropsychologie ist, zwar durchaus nachvollziehbar. Letztlich kann jedoch die Frage, ob eine Verbesserung der gesundheitlichen Situation eingetreten ist und deshalb die Rente aufgehoben werden kann, aufgrund der erheblichen Änderung der Erwerbssituation (vgl. E. 6. hiernach) offengelassen werden, weshalb auch auf allfällige weitere medizinische Abklärungen verzichtet werden kann (zur antizipierten Beweiswürdigung vgl. BGE 136 I 229 E. 5.3; vgl. auch BGE 122 V 157 E. 1d; SVR 2005 IV Nr. 8 S. 37 E. 6.2, 2003 AHV Nr. 4 S. 11 E. 4.2.1; vgl. zum Ganzen Urteil des BGer 8C_189/2008 vom 4. Juli 2008 E. 5 mit Hinweisen). Unter diesen Umständen ist auch auf die Diskrepanz zwischen der Beurteilung von Dr. med. D._______, wonach der Beschwerdeführer voll arbeits- und leistungsfähig ist, und Dr. med. F._______, welcher dem Versicherten bei ganztägiger Präsenz eine 50%ige Produktivität und eine 50%igen Erholungszeit attestiert (act. 122 S. 11 Ziff. 10.3), mangels Relevanz nicht weiter einzugehen. Dasselbe gilt für die vom Beschwerdeführer eingereichten, ausländischen Medizinalberichte (act. 122 bis 130), zumal sich diese darüber hinaus nicht ausreichend auf das Beweisthema - erhebliche Änderung(en) des Sachverhalts - beziehen (vgl. E. 2.8 hiervor).</w:t>
      </w:r>
    </w:p>
    <w:p>
      <w:r>
        <w:rPr>
          <w:b/>
        </w:rPr>
        <w:t>E. 6.1</w:t>
      </w:r>
    </w:p>
    <w:p>
      <w:r>
        <w:t>Wie bereits dargelegt (vgl. E. 2.7 hiervor), ist die Invalidenrente auch dann revidierbar, wenn sich die erwerblichen Auswirkungen erheblich verändert haben. Mit Blick auf die vorliegend massgeblichen Vergleichszeitpunkte (vgl. E. 4.2 hiervor) ergibt sich Folgendes: Aus dem von der Suva eruierten hypothetischen Valideneinkommen von Fr. 78'600.- in der Tätigkeit als Nutzfahrzeugverkäufer und dem Invalideneinkommen von Fr. 32'500 - welches der Beschwerdeführer in Chile als Nutzfahrzeugverkäufer im Betrieb seines Vaters generierte (Suva-act. 12 ff.) - resultierte ein IV-Grad von 60 % ab 1. Mai 1999. Obwohl dieser IV-Grad auf einem unzulässigen Lohnvergleich auf verschiedenen Arbeitsmärkten beruhte (vgl. Urteil des BVGer C-578/2008 vom 1. Juli 2010 E. 3.6.3 mit Hinweisen), wurden diese Erhebungen koordinationshalber anlässlich der erstmaligen Rentenzusprache durch die IV-Stelle AG (Beschluss vom 8. Mai 2000) übernommen (vgl. Bst. B. hiervor).</w:t>
      </w:r>
    </w:p>
    <w:p>
      <w:r>
        <w:rPr>
          <w:b/>
        </w:rPr>
        <w:t>E. 6.2</w:t>
      </w:r>
    </w:p>
    <w:p>
      <w:r>
        <w:t>Gemäss den Abklärungsergebnissen betreffend die erwerbliche Situation im Jahre 2011 erlitt der Beschwerdeführer in der Funktion des Geschäftsführers keine Erwerbseinbusse mehr (act. 78, 96 und 116 S. 5 und 6). Im Rahmen des am 24. Oktober 2011 durchgeführten Einkommensvergleichs (act. 78) stellte die Vorinstanz einem hypothetischen Valideneinkommen von CLP (chilenische Peso) 645'430.95 pro Monat das vom Versicherten gemäss seinen Angaben (act. 76 S. 1) tatsächlich generierte Einkommen als Geschäftsführer in der Höhe von monatlich CLP 1'000'000.- gegenüber. Daraus resultierte ein IV-Grad von 0 %.</w:t>
      </w:r>
    </w:p>
    <w:p>
      <w:r>
        <w:rPr>
          <w:b/>
        </w:rPr>
        <w:t>E. 6.3</w:t>
      </w:r>
    </w:p>
    <w:p>
      <w:r>
        <w:t>Gegenüber der chilenischen Steuerbehörde wurden in der Zeit von Januar 2011 bis September 2013 Monatslöhne in der Höhe von CLP 1'262'408.- bis CLP 1'623'299.- ausgewiesen (act. 93 S. 5 und 6 sowie act. 96 S. 5 bis 7). Im Fragebogen für die IV-Rentenrevision vom 8. November 2013 deklarierte der Beschwerdeführer selber einen Lohn von monatlich CLP 1'630'000.- (act. 93 und act. 96 S. 1), was im Grossen und Ganzen mit den für den Monat September 2013 gegenüber der Steuerbehörde gemachten Angaben übereinstimmt. Aus den entsprechenden Zahlen ergibt sich, dass die Löhne ab Januar 2011 kontinuierlich gestiegen sind. Der Beschwerdeführer macht zudem beschwerdeweise nicht geltend, es habe sich in seiner beruflichen Situation seit Herbst 2013 eine wesentliche Verschlechterung ergeben und/oder sein Gesundheitszustand habe sich verschlechtert (act. 113 S. 1, act. 122 S. 9 und act. 123).</w:t>
      </w:r>
    </w:p>
    <w:p>
      <w:r>
        <w:rPr>
          <w:b/>
        </w:rPr>
        <w:t>E. 6.4</w:t>
      </w:r>
    </w:p>
    <w:p>
      <w:r>
        <w:t>Mit Blick auf das vorstehend Dargelegte gibt die Lohnentwicklung des Beschwerdeführers - selbst bei an sich gleich gebliebenem Gesundheitszustand - vorliegend Anlass zur Rentenrevision (vgl. E. 2.6 hiervor), und es ist nicht zu beanstanden, dass die Vorinstanz aufgrund der arbeitsmarktlichen Verwertbarkeit des funktionellen Leistungsvermögens resp. in Ermangelung einer Erwerbseinbusse einen Rentenanspruch ab dem 1. April 2015 verneint hat. Da der Beschwerdeführer die Erwerbsunfähigkeit offensichtlich vermittels Eigenanstrengung resp. mit geeigneten Selbsteingliederungsmassnahmen nicht nur in einer erheblichen Weise verringert, sondern offensichtlich ganz behoben hat, setzte der vorliegend zu beurteilende Revisionsfall (Art. 17 ATSG) nach dem Konzept von Art. 16 ATSG keine Eingliederungsmassnahmen mehr voraus.</w:t>
      </w:r>
    </w:p>
    <w:p>
      <w:r>
        <w:rPr>
          <w:b/>
        </w:rPr>
        <w:t>E. 7</w:t>
      </w:r>
    </w:p>
    <w:p>
      <w:r>
        <w:t>Nach dem Dargelegten ist zusammengefasst festzuhalten, dass sich die Invalidität schlüssig und zuverlässig und somit rechtsgenüglich beurteilen lässt. Die angefochtene Verfügung vom 16. Februar 2015 erweist sich somit im Ergebnis als rechtens, weshalb die dagegen erhobene Beschwerde vom 18. März 2015 als unbegründet abzuweisen ist.</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