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C-175/2006 vom 25. April 2008</w:t>
      </w:r>
    </w:p>
    <w:p>
      <w:r>
        <w:t>Bundesverwaltungsgericht, 2008-04-25, DE</w:t>
      </w:r>
    </w:p>
    <w:p>
      <w:r>
        <w:rPr>
          <w:b/>
        </w:rPr>
        <w:t xml:space="preserve">Quelle: </w:t>
      </w:r>
      <w:r>
        <w:t>https://mcp.opencaselaw.ch/entscheid/bvger_C-175_2006</w:t>
      </w:r>
    </w:p>
    <w:p>
      <w:r>
        <w:t>FR: TAF C-175/2006 du 25 avril 2008</w:t>
      </w:r>
    </w:p>
    <w:p>
      <w:r>
        <w:t>IT: TAF C-175/2006 del 25 aprile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Das Verfahren vor dem Bundesverwaltungsgericht richtet sich nach dem VwVG, soweit das Gesetz nichts anderes bestimmt (Art. 37 VGG).</w:t>
      </w:r>
    </w:p>
    <w:p>
      <w:r>
        <w:rPr>
          <w:b/>
        </w:rPr>
        <w:t>E. 1.3</w:t>
      </w:r>
    </w:p>
    <w:p>
      <w:r>
        <w:t>Der Beschwerdeführer ist als Verfügungsadressat zur Beschwerde legitimiert (Art. 48 Abs. 1 VwVG); auf die frist- und formgerecht eingereichte Beschwerde ist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w:t>
      </w:r>
    </w:p>
    <w:p>
      <w:r>
        <w:rPr>
          <w:b/>
        </w:rPr>
        <w:t>E. 2.2</w:t>
      </w:r>
    </w:p>
    <w:p>
      <w:r>
        <w:t>Mit dem Inkrafttreten des Bundesgesetzes über die Ausländerinnen und Ausländer (AuG, SR 142.20) am 1. Januar 2008 wurde das ehemalige Bundesgesetz vom 26. März 1931 über Aufenthalt und Niederlassung der Ausländer (aANAG, BS 1 121) abgelöst (vgl. Art. 125 AuG i.V.m. Ziff. I des Anhangs zum AuG). Auf Verfahren, die vor diesem Zeitpunkt eingeleitet wurden, bleibt das bisherige Recht anwendbar (vgl. Art. 126 Abs. 1 AuG sowie Urteil des Bundesverwaltungsgerichts C-3912/2007 vom 14. Februar 2008, E. 2). Die angefochtene Verfügung erging vor dem Inkrafttreten des AuG. Für die materielle Beurteilung der vorliegenden Beschwerde ist daher auf die altrechtliche Regelung, insbesondere auf Art. 13 Abs. 1 aANAG, abzustellen.</w:t>
      </w:r>
    </w:p>
    <w:p>
      <w:r>
        <w:rPr>
          <w:b/>
        </w:rPr>
        <w:t>E. 3.1</w:t>
      </w:r>
    </w:p>
    <w:p>
      <w:r>
        <w:t>Die eidgenössische Behörde kann, für höchstens drei Jahre, die Einreisesperre verhängen über Ausländerinnen und Ausländer, die sich grobe oder mehrfache Zuwiderhandlungen gegen fremdenpolizeiliche oder andere gesetzliche Bestimmungen und gestützt darauf erlassene behördliche Verfügungen haben zuschulden kommen lassen. Während der Einreisesperre ist den Betroffenen jeder Grenzübertritt ohne ausdrückliche Ermächtigung der verfügenden Behörde untersagt (Art. 13 Abs. 1 Satz 2 und 3 aANAG).</w:t>
      </w:r>
    </w:p>
    <w:p>
      <w:r>
        <w:rPr>
          <w:b/>
        </w:rPr>
        <w:t>E. 3.2</w:t>
      </w:r>
    </w:p>
    <w:p>
      <w:r>
        <w:t>Gestützt auf diesen Tatbestand kann eine Fernhaltemassnahme angeordnet werden, wenn der Ausländer objektiv gegen fremdenpolizeiliche Vorschriften verstossen hat und ihm sein Gesetzesverstoss zum Vorwurf gereicht. Als grob im Sinne von Art. 13 Abs. 1 Satz 2 aANAG ist eine Zuwiderhandlung gegen fremdenpolizeiliche Bestimmungen - unabhängig vom Verschulden des Ausländers - immer dann zu qualifizieren, wenn sie zentrale, für das Funktionieren der fremdenpolizeilichen Ordnung wichtige Bereiche berührt (Entscheide des EJPD vom 18. November 1998 und 24. August 1998, publiziert in Verwaltungspraxis der Bundesbehörden [VPB] 63.38 und 63.2).</w:t>
      </w:r>
    </w:p>
    <w:p>
      <w:r>
        <w:rPr>
          <w:b/>
        </w:rPr>
        <w:t>E. 3.3</w:t>
      </w:r>
    </w:p>
    <w:p>
      <w:r>
        <w:t>Eine Einreisesperre kann ferner über unerwünschte Ausländerinnen und Ausländer verhängt werden (Art. 13 Abs. 1 Satz 1 aANAG). Als "unerwünscht" im Sinne dieser Bestimmung gelten nach ständiger Praxis Fremde, deren Vorleben bzw. konkretes Verhalten darauf schliessen lässt, dass sie nicht willens oder nicht fähig sind, sich in die geltende Ordnung einzufügen oder deren Fernhaltung im öffentlichen Interesse liegt (vgl. BGE 129 IV 246 E. 3.2 S. 251 f.; VPB 63.1, 62.28, 60.4, 58.53; ferner Peter Sulger Büel, Vollzug von Fernhalte- und Entfernungsmassnahmen gegenüber Fremden nach dem Recht des Bundes und des Kantons Zürich, Diss. Zürich 1984 = Europäische Hochschulschriften, Reihe II, Rechtswissenschaft, Bd. 352, Bern usw. 1984, S. 79 f. mit weiteren Nachweisen). Die Einreisesperre stellt aber keine Strafe im Sinne eines sozialethischen Unwerturteils, sondern eine präventivpolizeiliche Administrativmassnahme zum Schutz der öffentlichen Ordnung und Sicherheit dar (VPB 63.1, 62.28, 60.4, 58.53). Der unbestimmte Rechtsbegriff des "unerwünschten Ausländers" gemäss Art. 13 Abs. 1 Satz 1 ANAG ist dabei nach den üblichen Methoden dem Sinn und Zweck des Gesetzes entsprechend auszulegen (vgl. Fritz Gygi, Verwaltungsrecht, Bern 1986, S. 147; Francesco Bertossa, Der Beurteilungsspielraum, Diss. Bern 1984, ASR Heft 489, S. 39).</w:t>
      </w:r>
    </w:p>
    <w:p>
      <w:r>
        <w:rPr>
          <w:b/>
        </w:rPr>
        <w:t>E. 4.1</w:t>
      </w:r>
    </w:p>
    <w:p>
      <w:r>
        <w:t>Wie aus dem Sachverhalt hervorgeht, ging der Beschwerdeführer nach seiner Einreise mit falschen Papieren noch vor der Einreichung eines Asylgesuchs einer Erwerbstätigkeit nach, ohne im Besitze einer entsprechenden Bewilligung zu sein. Deswegen und weil er schon vor der Einreise im Januar 2006 mehrmals von Deutschland aus illegal in der Schweiz eingereist war und dabei Gelegenheitsarbeiten ausgeführt hatte (vgl. Strafbefehl des Bezirksamts Baden vom 16. Januar 2006), hat er zweifellos in grober Weise gegen fremdenpolizeiliche Bestimmungen verstossen. Diese Umstände weisen auch darauf hin, dass er das Asylgesuch nur eingereicht hat, weil er im Januar 2006 bei einer Personenkontrolle festgenommen worden war. Hinzu kommt, dass der Beschwerdeführer die nach dem Urteil der ARK vom BFM angesetzte Ausreisefrist nicht beachtete (vgl. Mitteilung des BFM vom 25. April 2006 sowie Schreiben der für den Wegweisungsvollzug zuständigen Migrationsbehörde des Kantons Glarus vom 3. Mai 2006).</w:t>
      </w:r>
    </w:p>
    <w:p>
      <w:r>
        <w:rPr>
          <w:b/>
        </w:rPr>
        <w:t>E. 4.2</w:t>
      </w:r>
    </w:p>
    <w:p>
      <w:r>
        <w:t>Der Beschwerdeführer verweist in diesem Zusammenhang auf das am 12. Mai 2006 beim Zivilstandsamt Wettingen eingeleitete Ehevorbereitungsverfahren und das bei der Migrationsbehörde des Kantons Glarus am 4. Mai 2006 eingereichte Gesuch um vorläufigen Verzicht auf den Wegweisungsvollzug wegen Reiseunfähigkeit. Indessen haben die beiden informierten kantonalen Migrationsbehörden nie vom negativen Asylentscheid abweichende Anordnungen getroffen, mit anderen Worten wurde dem Beschwerdeführer zu keiner Zeit ausdrücklich erlaubt, sich weiterhin hierzulande aufzuhalten. Folglich durfte er auch nicht in guten Treuen annehmen, man werde ihm die Ausreisefrist verlängern bzw. ihm den Aufenthalt bis zur erfolgten Heirat mit einer hier niedergelassenen Landsmännin bewilligen. Falls der Beschwerdeführer damals wirklich reiseunfähig gewesen sein sollte (ein diesbezüglich in Aussicht gestelltes ärztliche Zeugnis wurde im Übrigen nie nachgereicht), hätte er sich mit einem Wiedererwägungsgesuch an das dafür zuständige BFM wenden müssen, was sein Vertreter, der gemäss eigenen Angaben seit fast 20 Jahren im Asyl- und Ausländerrecht tätig ist, eigentlich genau hätte wissen sollen. Zu ergänzen wäre, dass behördliche Entscheide und Anordnungen keiner Mahnung bedürfen, um Rechtswirksamkeit zu erlangen. Der Beschwerdeführer ist der Aufforderung, das Land bis zum 23. Mai 2006 zu verlassen, unbestrittenermassen nicht nachgekommen. Mit seinem Verhalten hat er demnach eine behördliche Anordnung im Sinne von Art. 13 Abs. 1 Satz 2 aANAG missachtet und somit auch in diesem Fall den Fernhaltegrund der groben Zuwiderhandlung gegen fremdenpolizeiliche Bestimmungen und gestützt darauf erlassene behördliche Verfügungen gesetzt.</w:t>
      </w:r>
    </w:p>
    <w:p>
      <w:r>
        <w:rPr>
          <w:b/>
        </w:rPr>
        <w:t>E. 5.1</w:t>
      </w:r>
    </w:p>
    <w:p>
      <w:r>
        <w:t>Die Vorinstanz begründet ihren Standpunkt in der angefochtenen Verfügung ausschliesslich mit vorsorglich armenrechtlichen Überlegungen. Ausländerinnen und Ausländer, die mittellos sind, können in der Tat als unerwünscht im Sinne von Art. 13 Abs. Satz 1 aANAG gelten, weil in solchen Fällen oftmals die Gefahr besteht, dass sie auf sozialhilferechtliche Unterstützung angewiesen sind oder versucht sein könnten, ohne Bewilligung ein Erwerbseinkommen zu erzielen bzw. auf andere unerlaubte Weise zu Geldmitteln zu gelangen. Ihre Anwesenheit wird deshalb als potenzielle Gefährdung von Rechtsgütern betrachtet. Mit dem Begriff der Mittellosigkeit verknüpft die Praxis mithin die Möglichkeit der Unterstützung durch die öffentliche Hand, aber auch die Gefahr von Verstössen gegen fremdenpolizeiliche Vorschriften oder von sonstigem strafbaren Verhalten. Dies setzt eine gewisse Wahrscheinlichkeit voraus, dass die ausländische Person über keinerlei finanzielle Mittel verfügt, auf die sie im Bedarfsfall unverzüglich zurückgreifen könnte (vgl. Urteil des Bundesverwaltungsgerichts C-166/2006 vom 27. August 2007, E. 5.1, mit weiteren Hinweisen).</w:t>
      </w:r>
    </w:p>
    <w:p>
      <w:r>
        <w:rPr>
          <w:b/>
        </w:rPr>
        <w:t>E. 5.2</w:t>
      </w:r>
    </w:p>
    <w:p>
      <w:r>
        <w:t>Die in Asylverfahren entstandenen Fürsorge-, Ausreise- und Vollzugskosten sowie die Kosten von Rechtsmittelverfahren sind grundsätzlich rückerstattungspflichtig (Art. 85 Abs. 1 des Asylgesetzes vom 26. Juni 1998 [AsylG, AS 1999 2262]). Vorliegend steht fest, dass die Ausschaffungskosten (Ausschaffungshaft, Flugticket etc.) von der öffentlichen Hand übernommen wurden. Den Akten der Migrationsbehörde des Kantons Glarus lässt sich zudem entnehmen, dass der Beschwerdeführer während seiner Anwesenheit hierzulande von der Sozialhilfe unterstützt werden musste. Eine Erwerbstätigkeit wurde ihm nie bewilligt. Entsprechend verfügt er weder über ein festes Einkommen noch über Vermögen. Das mit der Rechtsmitteleingabe vom 10. Juli 2006 gestellte Begehren um Erlass eines Kostenvorschusses bzw. Gewährung der unentgeltlichen Rechtspflege spricht für sich. Ebenso wenig liegen Unterstützungserklärungen von nahen Angehörigen oder Bekannten vor, so dass davon auszugehen ist, dass der Betroffene vorderhand nicht in der Lage sein wird, für die diesbezüglichen Kosten aufzukommen. Ob der Beschwerdeführer verschuldet oder unverschuldet nicht imstande war, seinen Aufenthalt in der Schweiz aus eigenen Mittel zu bestreiten, spielt mit Blick auf die betroffenen Rechtsgüter derweil keine Rolle. Relevant ist einzig, dass bei einer Wiedereinreise in die Schweiz - so wie sich die Aktenlage präsentiert - ein armenrechtliches Risiko bestünde bzw. die Gefahr vorläge, ohne Bewilligung einer Erwerbstätigkeit nachzugehen (vgl. E. 4.1 vorstehend). Damit sind auch die Voraussetzungen für die Verhängung einer Einreisesperre gestützt auf Art. 13 Abs. 1 Satz 1 aANAG (Unerwünschtheit der ausländischen Person) erfüllt.</w:t>
      </w:r>
    </w:p>
    <w:p>
      <w:r>
        <w:rPr>
          <w:b/>
        </w:rPr>
        <w:t>E. 6</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6.1</w:t>
      </w:r>
    </w:p>
    <w:p>
      <w:r>
        <w:t>Das Verhalten des Beschwerdeführers ist zweifelsohne geeignet, die fremdenpolizeiliche Ordnung ernsthaft zu beeinträchtigen. Wie aus den Akten hervorgeht, traf er trotz rechtskräftig abgewiesenem Asylgesuch keine Anstalten, die Schweiz aus freien Stücken zu verlassen, und brachte mit seinem Tun zum Ausdruck, einen im Asylverfahren gefällten negativen Entscheid nicht zu akzeptieren. Auch ausserhalb des Asylverfahrens erweckte er den Eindruck, nichts unversucht zu lassen, um Zeit zu gewinnen und zu einem Aufenthaltsrecht zu gelangen. Es genügt in diesem Zusammenhang der Verweis auf das beim Zivilstandsamt Wettingen eingeleitete Ehevorbereitungsverfahren, welches nach seiner Ausschaffung offensichtlich nicht weiter vorangetrieben wurde. Hinzu kommen die bereits erwähnten früheren illegalen Einreisen und Stellenantritte ohne Bewilligung. Ein gewichtiges öffentliches Interesse an der Fernhaltung des Beschwerdeführers ergibt sich ebenfalls aus dessen Qualifizierung als unerwünschte Person. So entstanden dem Gemeinwesen durch sein Vorgehen Kosten für die Vorbereitung und Durchführung der Ausreise. Ebenfalls übernommen werden mussten bis zur Ausschaffung zudem die Sozialhilfekosten. Die geringe Bereitschaft des Beschwerdeführers, behördlichen Entscheiden Folge zu leisten und die verursachten Fürsorgeaufwendungen vermitteln das Bild einer Geringschätzung hiesiger Konventionen und Gesetzesnormen. Sowohl aus general- als auch aus spezialpräventiven Gründen besteht somit ein erhebliches öffentliches Interesse daran, ihn mit einer Einreisesperre zu belegen.</w:t>
      </w:r>
    </w:p>
    <w:p>
      <w:r>
        <w:rPr>
          <w:b/>
        </w:rPr>
        <w:t>E. 6.2</w:t>
      </w:r>
    </w:p>
    <w:p>
      <w:r>
        <w:t>Persönliche Interessen in diesem Verfahren könnten höchstens in der Beziehung des Beschwerdeführers zu einer in der Schweiz niedergelassenen Landsmännin erblickt werden. Eine Aufhebung oder Herabsetzung der Einreisesperre käme jedoch erst im Falle einer Eheschliessung in Frage. Sollte die Eheschliessung aus besonderen Gründen nur in der Schweiz stattfinden können, könnte die zuständige Behörde die Wirkungen der Fernhaltemassnahme zu diesem Zweck für begrenzte Zeit zudem vorgängig aussetzen (Art. 13 Abs. 1 letzter Satz aANAG; neu: Art. 67 Abs. 4 AuG). Weil die Ehevorbereitungen nach der Ausschaffung des Beschwerdeführers - wie schon erwähnt - nicht weiter vorangetrieben wurden, steht jedoch eine Heirat offenbar nicht (mehr) bevor. Was die Angemessenheit der verhängten Administrativmassnahme hinsichtlich ihrer Dauer anbelangt, gilt es überdies zu bedenken, dass die Vorinstanz - da in casu auch der Fernhaltegrund der Unerwünschtheit gegeben ist - nicht an den zeitlichen Rahmen von Art. 13 Abs. 1 Satz 2 aANAG gebunden gewesen wäre. Eine wertende Gewichtung der privaten und öffentlichen Interessen führt deshalb zum Schluss, dass die auf drei Jahre befristete Einreisesperre eine verhältnismässige und angemessene Massnahme zum Schutz der öffentlichen Ordnung und Sicherheit darstellt.</w:t>
      </w:r>
    </w:p>
    <w:p>
      <w:r>
        <w:rPr>
          <w:b/>
        </w:rPr>
        <w:t>E. 7</w:t>
      </w:r>
    </w:p>
    <w:p>
      <w:r>
        <w:t>Zusammenfassend ergibt sich, dass die angefochtene Verfügung im Lichte von Art. 49 VwVG nicht zu beanstanden ist. Die Beschwerde ist daher abzuweisen.</w:t>
      </w:r>
    </w:p>
    <w:p>
      <w:r>
        <w:rPr>
          <w:b/>
        </w:rPr>
        <w:t>E. 8</w:t>
      </w:r>
    </w:p>
    <w:p>
      <w:r>
        <w:t>Bei diesem Ausgang des Verfahrens sind dem Beschwerdeführer die Kosten aufzuerlegen (Art. 63 Abs. 1 VwVG in Verbindung mit Art. 1, Art. 2 und Art. 3 Bst. b des Reglements vom 11. Dezember 2006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